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_rels/header1.xml.rels" ContentType="application/vnd.openxmlformats-package.relationship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sdt>
      <w:sdtPr>
        <w:docPartObj>
          <w:docPartGallery w:val="Table of Contents"/>
          <w:docPartUnique w:val="true"/>
        </w:docPartObj>
      </w:sdtPr>
      <w:sdtContent>
        <w:p>
          <w:pPr>
            <w:pStyle w:val="TOCHeading"/>
            <w:suppressLineNumbers/>
            <w:bidi w:val="0"/>
            <w:spacing w:before="240" w:after="120"/>
            <w:ind w:hanging="0" w:start="0" w:end="0"/>
            <w:jc w:val="start"/>
            <w:rPr>
              <w:b/>
              <w:bCs/>
              <w:sz w:val="32"/>
              <w:szCs w:val="32"/>
            </w:rPr>
          </w:pPr>
          <w:r>
            <w:rPr>
              <w:b/>
              <w:bCs/>
              <w:sz w:val="32"/>
              <w:szCs w:val="32"/>
            </w:rPr>
            <w:t>Table of Contents</w:t>
          </w:r>
        </w:p>
        <w:p>
          <w:pPr>
            <w:pStyle w:val="TOC1"/>
            <w:bidi w:val="0"/>
            <w:jc w:val="start"/>
            <w:rPr/>
          </w:pPr>
          <w:r>
            <w:fldChar w:fldCharType="begin"/>
          </w:r>
          <w:r>
            <w:rPr>
              <w:rStyle w:val="IndexLink"/>
            </w:rPr>
            <w:instrText xml:space="preserve"> TOC \f \o "1-2" \t "Title,1" \h</w:instrText>
          </w:r>
          <w:r>
            <w:rPr>
              <w:rStyle w:val="IndexLink"/>
            </w:rPr>
            <w:fldChar w:fldCharType="separate"/>
          </w:r>
          <w:hyperlink w:anchor="__RefHeading___Toc15171_3986215611">
            <w:r>
              <w:rPr>
                <w:rStyle w:val="IndexLink"/>
              </w:rPr>
              <w:t>CRISIS MANAGEMENT PLAN</w:t>
              <w:tab/>
              <w:t>1</w:t>
            </w:r>
          </w:hyperlink>
        </w:p>
        <w:p>
          <w:pPr>
            <w:pStyle w:val="TOC1"/>
            <w:bidi w:val="0"/>
            <w:jc w:val="start"/>
            <w:rPr/>
          </w:pPr>
          <w:hyperlink w:anchor="__RefHeading___Toc5749_522697639">
            <w:r>
              <w:rPr>
                <w:rStyle w:val="IndexLink"/>
              </w:rPr>
              <w:t>1. PREAMBLE</w:t>
              <w:tab/>
              <w:t>2</w:t>
            </w:r>
          </w:hyperlink>
        </w:p>
        <w:p>
          <w:pPr>
            <w:pStyle w:val="TOC1"/>
            <w:bidi w:val="0"/>
            <w:jc w:val="start"/>
            <w:rPr/>
          </w:pPr>
          <w:hyperlink w:anchor="__RefHeading___Toc4572_5226976391">
            <w:r>
              <w:rPr>
                <w:rStyle w:val="IndexLink"/>
              </w:rPr>
              <w:t>2. PURPOSE</w:t>
              <w:tab/>
              <w:t>2</w:t>
            </w:r>
          </w:hyperlink>
        </w:p>
        <w:p>
          <w:pPr>
            <w:pStyle w:val="TOC1"/>
            <w:bidi w:val="0"/>
            <w:jc w:val="start"/>
            <w:rPr/>
          </w:pPr>
          <w:hyperlink w:anchor="__RefHeading___Toc5751_522697639">
            <w:r>
              <w:rPr>
                <w:rStyle w:val="IndexLink"/>
              </w:rPr>
              <w:t>3. PREPARATION AND CRISIS PREVENTION</w:t>
              <w:tab/>
              <w:t>2</w:t>
            </w:r>
          </w:hyperlink>
        </w:p>
        <w:p>
          <w:pPr>
            <w:pStyle w:val="TOC1"/>
            <w:bidi w:val="0"/>
            <w:jc w:val="start"/>
            <w:rPr/>
          </w:pPr>
          <w:hyperlink w:anchor="__RefHeading___Toc5753_522697639">
            <w:r>
              <w:rPr>
                <w:rStyle w:val="IndexLink"/>
              </w:rPr>
              <w:t>3.1. Development</w:t>
              <w:tab/>
              <w:t>2</w:t>
            </w:r>
          </w:hyperlink>
        </w:p>
        <w:p>
          <w:pPr>
            <w:pStyle w:val="TOC1"/>
            <w:bidi w:val="0"/>
            <w:jc w:val="start"/>
            <w:rPr/>
          </w:pPr>
          <w:hyperlink w:anchor="__RefHeading___Toc2101_522697639">
            <w:r>
              <w:rPr>
                <w:rStyle w:val="IndexLink"/>
              </w:rPr>
              <w:t>3.2. Training Schedule</w:t>
              <w:tab/>
              <w:t>3</w:t>
            </w:r>
          </w:hyperlink>
        </w:p>
        <w:p>
          <w:pPr>
            <w:pStyle w:val="TOC1"/>
            <w:bidi w:val="0"/>
            <w:jc w:val="start"/>
            <w:rPr/>
          </w:pPr>
          <w:hyperlink w:anchor="__RefHeading___Toc2103_522697639">
            <w:r>
              <w:rPr>
                <w:rStyle w:val="IndexLink"/>
              </w:rPr>
              <w:t>3.3. Planned and Unplanned Simulations</w:t>
              <w:tab/>
              <w:t>5</w:t>
            </w:r>
          </w:hyperlink>
        </w:p>
        <w:p>
          <w:pPr>
            <w:pStyle w:val="TOC1"/>
            <w:bidi w:val="0"/>
            <w:jc w:val="start"/>
            <w:rPr/>
          </w:pPr>
          <w:hyperlink w:anchor="__RefHeading___Toc2105_522697639">
            <w:r>
              <w:rPr>
                <w:rStyle w:val="IndexLink"/>
              </w:rPr>
              <w:t>4. CRISIS MANAGEMENT TEAM</w:t>
              <w:tab/>
              <w:t>5</w:t>
            </w:r>
          </w:hyperlink>
        </w:p>
        <w:p>
          <w:pPr>
            <w:pStyle w:val="TOC1"/>
            <w:bidi w:val="0"/>
            <w:jc w:val="start"/>
            <w:rPr/>
          </w:pPr>
          <w:hyperlink w:anchor="__RefHeading___Toc4574_522697639">
            <w:r>
              <w:rPr>
                <w:rStyle w:val="IndexLink"/>
              </w:rPr>
              <w:t>4.1. The Core Crisis Management Team:</w:t>
              <w:tab/>
              <w:t>5</w:t>
            </w:r>
          </w:hyperlink>
        </w:p>
        <w:p>
          <w:pPr>
            <w:pStyle w:val="TOC1"/>
            <w:bidi w:val="0"/>
            <w:jc w:val="start"/>
            <w:rPr/>
          </w:pPr>
          <w:hyperlink w:anchor="__RefHeading___Toc2109_522697639">
            <w:r>
              <w:rPr>
                <w:rStyle w:val="IndexLink"/>
              </w:rPr>
              <w:t>4.2. Accidents</w:t>
              <w:tab/>
              <w:t>10</w:t>
            </w:r>
          </w:hyperlink>
        </w:p>
        <w:p>
          <w:pPr>
            <w:pStyle w:val="TOC1"/>
            <w:bidi w:val="0"/>
            <w:jc w:val="start"/>
            <w:rPr/>
          </w:pPr>
          <w:hyperlink w:anchor="__RefHeading___Toc2111_522697639">
            <w:r>
              <w:rPr>
                <w:rStyle w:val="IndexLink"/>
              </w:rPr>
              <w:t>4.2.1. Level I – Minor Injury/Accident:</w:t>
              <w:tab/>
              <w:t>10</w:t>
            </w:r>
          </w:hyperlink>
        </w:p>
        <w:p>
          <w:pPr>
            <w:pStyle w:val="TOC1"/>
            <w:bidi w:val="0"/>
            <w:jc w:val="start"/>
            <w:rPr/>
          </w:pPr>
          <w:hyperlink w:anchor="__RefHeading___Toc2113_522697639">
            <w:r>
              <w:rPr>
                <w:rStyle w:val="IndexLink"/>
              </w:rPr>
              <w:t>4.2.2. Level II – Serious Injury/Accident:</w:t>
              <w:tab/>
              <w:t>11</w:t>
            </w:r>
          </w:hyperlink>
        </w:p>
        <w:p>
          <w:pPr>
            <w:pStyle w:val="TOC1"/>
            <w:bidi w:val="0"/>
            <w:jc w:val="start"/>
            <w:rPr/>
          </w:pPr>
          <w:hyperlink w:anchor="__RefHeading___Toc2115_522697639">
            <w:r>
              <w:rPr>
                <w:rStyle w:val="IndexLink"/>
              </w:rPr>
              <w:t>4.2.3. Level III – Critical Injury/Accident:</w:t>
              <w:tab/>
              <w:t>11</w:t>
            </w:r>
          </w:hyperlink>
        </w:p>
        <w:p>
          <w:pPr>
            <w:pStyle w:val="TOC1"/>
            <w:bidi w:val="0"/>
            <w:jc w:val="start"/>
            <w:rPr/>
          </w:pPr>
          <w:hyperlink w:anchor="__RefHeading___Toc4576_522697639">
            <w:r>
              <w:rPr>
                <w:rStyle w:val="IndexLink"/>
              </w:rPr>
              <w:t>4.3. Physical Health Emergencies</w:t>
              <w:tab/>
              <w:t>12</w:t>
            </w:r>
          </w:hyperlink>
        </w:p>
        <w:p>
          <w:pPr>
            <w:pStyle w:val="TOC1"/>
            <w:bidi w:val="0"/>
            <w:jc w:val="start"/>
            <w:rPr/>
          </w:pPr>
          <w:hyperlink w:anchor="__RefHeading___Toc4578_522697639">
            <w:r>
              <w:rPr>
                <w:rStyle w:val="IndexLink"/>
              </w:rPr>
              <w:t>4.3.1. Level I – Monitor:</w:t>
              <w:tab/>
              <w:t>12</w:t>
            </w:r>
          </w:hyperlink>
        </w:p>
        <w:p>
          <w:pPr>
            <w:pStyle w:val="TOC1"/>
            <w:bidi w:val="0"/>
            <w:jc w:val="start"/>
            <w:rPr/>
          </w:pPr>
          <w:hyperlink w:anchor="__RefHeading___Toc4580_522697639">
            <w:r>
              <w:rPr>
                <w:rStyle w:val="IndexLink"/>
              </w:rPr>
              <w:t>4.3.2. Level II – Plan:</w:t>
              <w:tab/>
              <w:t>13</w:t>
            </w:r>
          </w:hyperlink>
        </w:p>
        <w:p>
          <w:pPr>
            <w:pStyle w:val="TOC1"/>
            <w:bidi w:val="0"/>
            <w:jc w:val="start"/>
            <w:rPr/>
          </w:pPr>
          <w:hyperlink w:anchor="__RefHeading___Toc4582_522697639">
            <w:r>
              <w:rPr>
                <w:rStyle w:val="IndexLink"/>
              </w:rPr>
              <w:t>4.3.3. Level III – Act:</w:t>
              <w:tab/>
              <w:t>13</w:t>
            </w:r>
          </w:hyperlink>
        </w:p>
        <w:p>
          <w:pPr>
            <w:pStyle w:val="TOC1"/>
            <w:bidi w:val="0"/>
            <w:jc w:val="start"/>
            <w:rPr/>
          </w:pPr>
          <w:hyperlink w:anchor="__RefHeading___Toc4576_522697639_Copy_2">
            <w:r>
              <w:rPr>
                <w:rStyle w:val="IndexLink"/>
              </w:rPr>
              <w:t>4.4. Mental Health Emergencies</w:t>
              <w:tab/>
              <w:t>15</w:t>
            </w:r>
          </w:hyperlink>
        </w:p>
        <w:p>
          <w:pPr>
            <w:pStyle w:val="TOC1"/>
            <w:bidi w:val="0"/>
            <w:jc w:val="start"/>
            <w:rPr/>
          </w:pPr>
          <w:hyperlink w:anchor="__RefHeading___Toc4576_522697639_Copy_2_">
            <w:r>
              <w:rPr>
                <w:rStyle w:val="IndexLink"/>
              </w:rPr>
              <w:t>4.5. Abuse, Harassment or other traumatic events</w:t>
              <w:tab/>
              <w:t>15</w:t>
            </w:r>
          </w:hyperlink>
        </w:p>
        <w:p>
          <w:pPr>
            <w:pStyle w:val="TOC1"/>
            <w:bidi w:val="0"/>
            <w:jc w:val="start"/>
            <w:rPr/>
          </w:pPr>
          <w:hyperlink w:anchor="__RefHeading___Toc4576_522697639_Copy_21">
            <w:r>
              <w:rPr>
                <w:rStyle w:val="IndexLink"/>
              </w:rPr>
              <w:t>4.6. Tragedy</w:t>
              <w:tab/>
              <w:t>16</w:t>
            </w:r>
          </w:hyperlink>
        </w:p>
        <w:p>
          <w:pPr>
            <w:pStyle w:val="TOC1"/>
            <w:bidi w:val="0"/>
            <w:jc w:val="start"/>
            <w:rPr/>
          </w:pPr>
          <w:hyperlink w:anchor="__RefHeading___Toc2117_522697639">
            <w:r>
              <w:rPr>
                <w:rStyle w:val="IndexLink"/>
              </w:rPr>
              <w:t>5. CRISIS RESOLUTION</w:t>
              <w:tab/>
              <w:t>16</w:t>
            </w:r>
          </w:hyperlink>
        </w:p>
        <w:p>
          <w:pPr>
            <w:pStyle w:val="TOC1"/>
            <w:bidi w:val="0"/>
            <w:jc w:val="start"/>
            <w:rPr/>
          </w:pPr>
          <w:hyperlink w:anchor="__RefHeading___Toc2119_522697639">
            <w:r>
              <w:rPr>
                <w:rStyle w:val="IndexLink"/>
              </w:rPr>
              <w:t>5.1. De-escalating and Declaring a Crisis Resolved:</w:t>
              <w:tab/>
              <w:t>16</w:t>
            </w:r>
          </w:hyperlink>
        </w:p>
        <w:p>
          <w:pPr>
            <w:pStyle w:val="TOC1"/>
            <w:bidi w:val="0"/>
            <w:jc w:val="start"/>
            <w:rPr/>
          </w:pPr>
          <w:hyperlink w:anchor="__RefHeading___Toc4584_522697639">
            <w:r>
              <w:rPr>
                <w:rStyle w:val="IndexLink"/>
              </w:rPr>
              <w:t>5.1.1. De-escalating a crisis:</w:t>
              <w:tab/>
              <w:t>16</w:t>
            </w:r>
          </w:hyperlink>
        </w:p>
        <w:p>
          <w:pPr>
            <w:pStyle w:val="TOC1"/>
            <w:bidi w:val="0"/>
            <w:jc w:val="start"/>
            <w:rPr/>
          </w:pPr>
          <w:hyperlink w:anchor="__RefHeading___Toc4586_522697639">
            <w:r>
              <w:rPr>
                <w:rStyle w:val="IndexLink"/>
              </w:rPr>
              <w:t>5.1.2. Declaring a crisis resolved:</w:t>
              <w:tab/>
              <w:t>16</w:t>
            </w:r>
          </w:hyperlink>
        </w:p>
        <w:p>
          <w:pPr>
            <w:pStyle w:val="TOC1"/>
            <w:bidi w:val="0"/>
            <w:jc w:val="start"/>
            <w:rPr/>
          </w:pPr>
          <w:hyperlink w:anchor="__RefHeading___Toc2121_522697639">
            <w:r>
              <w:rPr>
                <w:rStyle w:val="IndexLink"/>
              </w:rPr>
              <w:t>5.2. Debriefing:</w:t>
              <w:tab/>
              <w:t>17</w:t>
            </w:r>
          </w:hyperlink>
        </w:p>
        <w:p>
          <w:pPr>
            <w:pStyle w:val="TOC1"/>
            <w:bidi w:val="0"/>
            <w:jc w:val="start"/>
            <w:rPr/>
          </w:pPr>
          <w:hyperlink w:anchor="__RefHeading___Toc4588_522697639">
            <w:r>
              <w:rPr>
                <w:rStyle w:val="IndexLink"/>
              </w:rPr>
              <w:t>5.3. Updating the CMP &amp; Emergency Training:</w:t>
              <w:tab/>
              <w:t>17</w:t>
            </w:r>
          </w:hyperlink>
        </w:p>
        <w:p>
          <w:pPr>
            <w:pStyle w:val="TOC1"/>
            <w:bidi w:val="0"/>
            <w:jc w:val="start"/>
            <w:rPr/>
          </w:pPr>
          <w:hyperlink w:anchor="__RefHeading___Toc4590_522697639">
            <w:r>
              <w:rPr>
                <w:rStyle w:val="IndexLink"/>
              </w:rPr>
              <w:t>5.3.1. Review of the CMP – Crisis Management Plan</w:t>
              <w:tab/>
              <w:t>17</w:t>
            </w:r>
          </w:hyperlink>
        </w:p>
        <w:p>
          <w:pPr>
            <w:pStyle w:val="TOC1"/>
            <w:bidi w:val="0"/>
            <w:jc w:val="start"/>
            <w:rPr/>
          </w:pPr>
          <w:hyperlink w:anchor="__RefHeading___Toc4592_522697639">
            <w:r>
              <w:rPr>
                <w:rStyle w:val="IndexLink"/>
              </w:rPr>
              <w:t>5.3.2. Emergency (unscheduled) trainings</w:t>
              <w:tab/>
              <w:t>17</w:t>
            </w:r>
          </w:hyperlink>
        </w:p>
        <w:p>
          <w:pPr>
            <w:pStyle w:val="TOC1"/>
            <w:bidi w:val="0"/>
            <w:jc w:val="start"/>
            <w:rPr/>
          </w:pPr>
          <w:hyperlink w:anchor="__RefHeading___Toc2123_522697639">
            <w:r>
              <w:rPr>
                <w:rStyle w:val="IndexLink"/>
              </w:rPr>
              <w:t>6. OTHER IMPORTANT CONSIDERATIONS</w:t>
              <w:tab/>
              <w:t>18</w:t>
            </w:r>
          </w:hyperlink>
        </w:p>
        <w:p>
          <w:pPr>
            <w:pStyle w:val="TOC1"/>
            <w:bidi w:val="0"/>
            <w:jc w:val="start"/>
            <w:rPr/>
          </w:pPr>
          <w:hyperlink w:anchor="__RefHeading___Toc2125_522697639">
            <w:r>
              <w:rPr>
                <w:rStyle w:val="IndexLink"/>
              </w:rPr>
              <w:t>6.1. Supporting Young People During a Crisis</w:t>
              <w:tab/>
              <w:t>18</w:t>
            </w:r>
          </w:hyperlink>
        </w:p>
        <w:p>
          <w:pPr>
            <w:pStyle w:val="TOC1"/>
            <w:bidi w:val="0"/>
            <w:jc w:val="start"/>
            <w:rPr/>
          </w:pPr>
          <w:hyperlink w:anchor="__RefHeading___Toc2127_522697639">
            <w:r>
              <w:rPr>
                <w:rStyle w:val="IndexLink"/>
              </w:rPr>
              <w:t>6.2. Administrative Protocols</w:t>
              <w:tab/>
              <w:t>19</w:t>
            </w:r>
          </w:hyperlink>
        </w:p>
        <w:p>
          <w:pPr>
            <w:pStyle w:val="TOC1"/>
            <w:bidi w:val="0"/>
            <w:jc w:val="start"/>
            <w:rPr/>
          </w:pPr>
          <w:hyperlink w:anchor="__RefHeading___Toc4594_522697639">
            <w:r>
              <w:rPr>
                <w:rStyle w:val="IndexLink"/>
              </w:rPr>
              <w:t>6.2.1. Reporting:</w:t>
              <w:tab/>
              <w:t>19</w:t>
            </w:r>
          </w:hyperlink>
        </w:p>
        <w:p>
          <w:pPr>
            <w:pStyle w:val="TOC1"/>
            <w:bidi w:val="0"/>
            <w:jc w:val="start"/>
            <w:rPr/>
          </w:pPr>
          <w:hyperlink w:anchor="__RefHeading___Toc4596_522697639">
            <w:r>
              <w:rPr>
                <w:rStyle w:val="IndexLink"/>
              </w:rPr>
              <w:t>6.2.2. Record-keeping:</w:t>
              <w:tab/>
              <w:t>19</w:t>
            </w:r>
          </w:hyperlink>
        </w:p>
        <w:p>
          <w:pPr>
            <w:pStyle w:val="TOC1"/>
            <w:bidi w:val="0"/>
            <w:jc w:val="start"/>
            <w:rPr/>
          </w:pPr>
          <w:hyperlink w:anchor="__RefHeading___Toc2129_522697639">
            <w:r>
              <w:rPr>
                <w:rStyle w:val="IndexLink"/>
              </w:rPr>
              <w:t>6.3. Insurance and Expenses</w:t>
              <w:tab/>
              <w:t>19</w:t>
            </w:r>
          </w:hyperlink>
        </w:p>
        <w:p>
          <w:pPr>
            <w:pStyle w:val="TOC1"/>
            <w:bidi w:val="0"/>
            <w:jc w:val="start"/>
            <w:rPr/>
          </w:pPr>
          <w:hyperlink w:anchor="__RefHeading___Toc2131_522697639">
            <w:r>
              <w:rPr>
                <w:rStyle w:val="IndexLink"/>
              </w:rPr>
              <w:t>6.4. Expenses:</w:t>
              <w:tab/>
              <w:t>19</w:t>
            </w:r>
          </w:hyperlink>
        </w:p>
        <w:p>
          <w:pPr>
            <w:pStyle w:val="TOC1"/>
            <w:bidi w:val="0"/>
            <w:jc w:val="start"/>
            <w:rPr/>
          </w:pPr>
          <w:hyperlink w:anchor="__RefHeading___Toc2133_522697639">
            <w:r>
              <w:rPr>
                <w:rStyle w:val="IndexLink"/>
              </w:rPr>
              <w:t>6.5. Media Crisis Guidelines</w:t>
              <w:tab/>
              <w:t>20</w:t>
            </w:r>
          </w:hyperlink>
        </w:p>
        <w:p>
          <w:pPr>
            <w:pStyle w:val="TOC1"/>
            <w:bidi w:val="0"/>
            <w:jc w:val="start"/>
            <w:rPr/>
          </w:pPr>
          <w:hyperlink w:anchor="__RefHeading___Toc15177_3986215611">
            <w:r>
              <w:rPr>
                <w:rStyle w:val="IndexLink"/>
              </w:rPr>
              <w:t>APPENDIX A - DISTRICT CONTACT LIST &amp; AND CRISIS NOTIFICATION PROTOCOLS</w:t>
              <w:tab/>
              <w:t>21</w:t>
            </w:r>
          </w:hyperlink>
        </w:p>
        <w:p>
          <w:pPr>
            <w:pStyle w:val="TOC1"/>
            <w:bidi w:val="0"/>
            <w:jc w:val="start"/>
            <w:rPr/>
          </w:pPr>
          <w:hyperlink w:anchor="__RefHeading___Toc15175_3986215611">
            <w:r>
              <w:rPr>
                <w:rStyle w:val="IndexLink"/>
              </w:rPr>
              <w:t>APPENDIX B - SAMPLE DEBRIEFING</w:t>
              <w:tab/>
              <w:t>22</w:t>
            </w:r>
          </w:hyperlink>
        </w:p>
        <w:p>
          <w:pPr>
            <w:pStyle w:val="TOC1"/>
            <w:bidi w:val="0"/>
            <w:jc w:val="start"/>
            <w:rPr/>
          </w:pPr>
          <w:hyperlink w:anchor="__RefHeading___Toc15173_3986215611">
            <w:r>
              <w:rPr>
                <w:rStyle w:val="IndexLink"/>
              </w:rPr>
              <w:t>APPENDIX C - List of Community and Government Services</w:t>
              <w:tab/>
              <w:t>25</w:t>
            </w:r>
          </w:hyperlink>
          <w:r>
            <w:rPr>
              <w:rStyle w:val="IndexLink"/>
            </w:rPr>
            <w:fldChar w:fldCharType="end"/>
          </w:r>
        </w:p>
      </w:sdtContent>
    </w:sdt>
    <w:p>
      <w:pPr>
        <w:pStyle w:val="Normal"/>
        <w:bidi w:val="0"/>
        <w:jc w:val="start"/>
        <w:rPr>
          <w:i/>
          <w:color w:val="808080"/>
        </w:rPr>
      </w:pPr>
      <w:r>
        <w:rPr>
          <w:i/>
          <w:color w:val="808080"/>
        </w:rPr>
      </w:r>
    </w:p>
    <w:p>
      <w:pPr>
        <w:pStyle w:val="Heading1"/>
        <w:numPr>
          <w:ilvl w:val="0"/>
          <w:numId w:val="2"/>
        </w:numPr>
        <w:bidi w:val="0"/>
        <w:jc w:val="start"/>
        <w:rPr>
          <w:b/>
        </w:rPr>
      </w:pPr>
      <w:bookmarkStart w:id="0" w:name="__RefHeading___Toc5749_522697639"/>
      <w:bookmarkEnd w:id="0"/>
      <w:r>
        <w:rPr>
          <w:b/>
        </w:rPr>
        <w:t>PREAMBLE</w:t>
      </w:r>
    </w:p>
    <w:p>
      <w:pPr>
        <w:pStyle w:val="BodyText"/>
        <w:bidi w:val="0"/>
        <w:jc w:val="start"/>
        <w:rPr/>
      </w:pPr>
      <w:r>
        <w:rPr>
          <w:b w:val="false"/>
          <w:bCs w:val="false"/>
        </w:rPr>
        <w:t xml:space="preserve">This </w:t>
      </w:r>
      <w:r>
        <w:rPr>
          <w:b w:val="false"/>
          <w:bCs w:val="false"/>
        </w:rPr>
        <w:t xml:space="preserve">plan is based on the Rotary International template and the guide and the template can be </w:t>
      </w:r>
      <w:r>
        <w:rPr>
          <w:b w:val="false"/>
          <w:bCs w:val="false"/>
          <w:color w:val="000000"/>
          <w:lang w:val="en-GB"/>
        </w:rPr>
        <w:t>downloaded from this URL</w:t>
      </w:r>
      <w:r>
        <w:rPr>
          <w:b w:val="false"/>
          <w:bCs w:val="false"/>
        </w:rPr>
        <w:t>:</w:t>
      </w:r>
    </w:p>
    <w:p>
      <w:pPr>
        <w:pStyle w:val="BodyText"/>
        <w:bidi w:val="0"/>
        <w:jc w:val="start"/>
        <w:rPr/>
      </w:pPr>
      <w:hyperlink r:id="rId2">
        <w:r>
          <w:rPr>
            <w:rStyle w:val="Hyperlink"/>
            <w:b w:val="false"/>
            <w:bCs w:val="false"/>
          </w:rPr>
          <w:t>https://my.rotary.org/en/document/developing-crisis-management-plan</w:t>
        </w:r>
      </w:hyperlink>
      <w:r>
        <w:rPr>
          <w:b w:val="false"/>
          <w:bCs w:val="false"/>
        </w:rPr>
        <w:t xml:space="preserve"> </w:t>
      </w:r>
    </w:p>
    <w:p>
      <w:pPr>
        <w:pStyle w:val="Heading1"/>
        <w:numPr>
          <w:ilvl w:val="0"/>
          <w:numId w:val="2"/>
        </w:numPr>
        <w:bidi w:val="0"/>
        <w:jc w:val="start"/>
        <w:rPr/>
      </w:pPr>
      <w:bookmarkStart w:id="1" w:name="__RefHeading___Toc4572_5226976391"/>
      <w:bookmarkEnd w:id="1"/>
      <w:r>
        <w:rPr>
          <w:b/>
        </w:rPr>
        <w:t>P</w:t>
      </w:r>
      <w:r>
        <w:rPr>
          <w:b/>
        </w:rPr>
        <w:t>URPOSE</w:t>
      </w:r>
    </w:p>
    <w:p>
      <w:pPr>
        <w:pStyle w:val="BodyText"/>
        <w:bidi w:val="0"/>
        <w:jc w:val="start"/>
        <w:rPr/>
      </w:pPr>
      <w:r>
        <w:rPr/>
        <w:t>The health, safety and security of our volunteers and program participants is our highest priority. As such, this document has been developed to serve as an important procedural resource to assist the Rotary Districts within Rotary Zone 8 – Oceania</w:t>
      </w:r>
      <w:r>
        <w:rPr>
          <w:b/>
        </w:rPr>
        <w:t xml:space="preserve"> </w:t>
      </w:r>
      <w:r>
        <w:rPr/>
        <w:t xml:space="preserve">volunteers and participants respond effectively when a crisis occurs in order to minimize risk and help ensure the safety of all, to the greatest extent possible. </w:t>
      </w:r>
    </w:p>
    <w:p>
      <w:pPr>
        <w:pStyle w:val="Heading1"/>
        <w:numPr>
          <w:ilvl w:val="0"/>
          <w:numId w:val="2"/>
        </w:numPr>
        <w:bidi w:val="0"/>
        <w:jc w:val="start"/>
        <w:rPr>
          <w:b/>
        </w:rPr>
      </w:pPr>
      <w:bookmarkStart w:id="2" w:name="__RefHeading___Toc5751_522697639"/>
      <w:bookmarkEnd w:id="2"/>
      <w:r>
        <w:rPr>
          <w:b/>
        </w:rPr>
        <w:t>PREPARATION AND CRISIS PREVENTION</w:t>
      </w:r>
    </w:p>
    <w:p>
      <w:pPr>
        <w:pStyle w:val="Heading2"/>
        <w:numPr>
          <w:ilvl w:val="1"/>
          <w:numId w:val="2"/>
        </w:numPr>
        <w:bidi w:val="0"/>
        <w:jc w:val="start"/>
        <w:outlineLvl w:val="0"/>
        <w:rPr/>
      </w:pPr>
      <w:bookmarkStart w:id="3" w:name="__RefHeading___Toc5753_522697639"/>
      <w:bookmarkEnd w:id="3"/>
      <w:r>
        <w:rPr/>
        <w:t>Development</w:t>
      </w:r>
    </w:p>
    <w:p>
      <w:pPr>
        <w:pStyle w:val="BodyText"/>
        <w:bidi w:val="0"/>
        <w:spacing w:lineRule="auto" w:line="276" w:before="0" w:after="140"/>
        <w:jc w:val="start"/>
        <w:rPr/>
      </w:pPr>
      <w:r>
        <w:rPr/>
        <w:t>Th</w:t>
      </w:r>
      <w:r>
        <w:rPr/>
        <w:t>is</w:t>
      </w:r>
      <w:r>
        <w:rPr/>
        <w:t xml:space="preserve"> crisis management plan includes a comprehensive assessment of the local risks, in collaboration with the following external agencies: </w:t>
      </w:r>
    </w:p>
    <w:p>
      <w:pPr>
        <w:pStyle w:val="BodyText"/>
        <w:bidi w:val="0"/>
        <w:jc w:val="start"/>
        <w:rPr>
          <w:i/>
          <w:color w:val="808080"/>
        </w:rPr>
      </w:pPr>
      <w:r>
        <w:rPr>
          <w:i/>
          <w:color w:val="808080"/>
        </w:rPr>
      </w:r>
    </w:p>
    <w:tbl>
      <w:tblPr>
        <w:tblW w:w="5000" w:type="pct"/>
        <w:jc w:val="start"/>
        <w:tblInd w:w="-5" w:type="dxa"/>
        <w:tblLayout w:type="fixed"/>
        <w:tblCellMar>
          <w:top w:w="55" w:type="dxa"/>
          <w:start w:w="55" w:type="dxa"/>
          <w:bottom w:w="55" w:type="dxa"/>
          <w:end w:w="55" w:type="dxa"/>
        </w:tblCellMar>
      </w:tblPr>
      <w:tblGrid>
        <w:gridCol w:w="3212"/>
        <w:gridCol w:w="3213"/>
        <w:gridCol w:w="3213"/>
      </w:tblGrid>
      <w:tr>
        <w:trPr/>
        <w:tc>
          <w:tcPr>
            <w:tcW w:w="3212" w:type="dxa"/>
            <w:tcBorders>
              <w:top w:val="single" w:sz="4" w:space="0" w:color="000000"/>
              <w:start w:val="single" w:sz="4" w:space="0" w:color="000000"/>
              <w:bottom w:val="single" w:sz="4" w:space="0" w:color="000000"/>
            </w:tcBorders>
          </w:tcPr>
          <w:p>
            <w:pPr>
              <w:pStyle w:val="TableHeading"/>
              <w:bidi w:val="0"/>
              <w:rPr/>
            </w:pPr>
            <w:r>
              <w:rPr/>
              <w:t>External Agency</w:t>
            </w:r>
          </w:p>
        </w:tc>
        <w:tc>
          <w:tcPr>
            <w:tcW w:w="3213" w:type="dxa"/>
            <w:tcBorders>
              <w:top w:val="single" w:sz="4" w:space="0" w:color="000000"/>
              <w:start w:val="single" w:sz="4" w:space="0" w:color="000000"/>
              <w:bottom w:val="single" w:sz="4" w:space="0" w:color="000000"/>
            </w:tcBorders>
          </w:tcPr>
          <w:p>
            <w:pPr>
              <w:pStyle w:val="TableHeading"/>
              <w:bidi w:val="0"/>
              <w:rPr/>
            </w:pPr>
            <w:r>
              <w:rPr/>
              <w:t>Role</w:t>
            </w:r>
          </w:p>
        </w:tc>
        <w:tc>
          <w:tcPr>
            <w:tcW w:w="3213" w:type="dxa"/>
            <w:tcBorders>
              <w:top w:val="single" w:sz="4" w:space="0" w:color="000000"/>
              <w:start w:val="single" w:sz="4" w:space="0" w:color="000000"/>
              <w:bottom w:val="single" w:sz="4" w:space="0" w:color="000000"/>
              <w:end w:val="single" w:sz="4" w:space="0" w:color="000000"/>
            </w:tcBorders>
          </w:tcPr>
          <w:p>
            <w:pPr>
              <w:pStyle w:val="TableHeading"/>
              <w:bidi w:val="0"/>
              <w:rPr/>
            </w:pPr>
            <w:r>
              <w:rPr/>
              <w:t>Assessment/</w:t>
            </w:r>
            <w:r>
              <w:rPr/>
              <w:t>comments</w:t>
            </w:r>
          </w:p>
        </w:tc>
      </w:tr>
      <w:tr>
        <w:trPr/>
        <w:tc>
          <w:tcPr>
            <w:tcW w:w="3212" w:type="dxa"/>
            <w:tcBorders>
              <w:start w:val="single" w:sz="4" w:space="0" w:color="000000"/>
              <w:bottom w:val="single" w:sz="4" w:space="0" w:color="000000"/>
            </w:tcBorders>
          </w:tcPr>
          <w:p>
            <w:pPr>
              <w:pStyle w:val="TableContents"/>
              <w:bidi w:val="0"/>
              <w:jc w:val="start"/>
              <w:rPr/>
            </w:pPr>
            <w:r>
              <w:rPr/>
              <w:t>Walker Law</w:t>
            </w:r>
          </w:p>
        </w:tc>
        <w:tc>
          <w:tcPr>
            <w:tcW w:w="3213" w:type="dxa"/>
            <w:tcBorders>
              <w:start w:val="single" w:sz="4" w:space="0" w:color="000000"/>
              <w:bottom w:val="single" w:sz="4" w:space="0" w:color="000000"/>
            </w:tcBorders>
          </w:tcPr>
          <w:p>
            <w:pPr>
              <w:pStyle w:val="TableContents"/>
              <w:bidi w:val="0"/>
              <w:jc w:val="start"/>
              <w:rPr/>
            </w:pPr>
            <w:r>
              <w:rPr/>
              <w:t>Legal Advice</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Advisor on legal issues with RI policies</w:t>
            </w:r>
          </w:p>
        </w:tc>
      </w:tr>
      <w:tr>
        <w:trPr/>
        <w:tc>
          <w:tcPr>
            <w:tcW w:w="3212" w:type="dxa"/>
            <w:tcBorders>
              <w:start w:val="single" w:sz="4" w:space="0" w:color="000000"/>
              <w:bottom w:val="single" w:sz="4" w:space="0" w:color="000000"/>
            </w:tcBorders>
          </w:tcPr>
          <w:p>
            <w:pPr>
              <w:pStyle w:val="TableContents"/>
              <w:bidi w:val="0"/>
              <w:jc w:val="start"/>
              <w:rPr/>
            </w:pPr>
            <w:r>
              <w:rPr/>
              <w:t>AON</w:t>
            </w:r>
          </w:p>
        </w:tc>
        <w:tc>
          <w:tcPr>
            <w:tcW w:w="3213" w:type="dxa"/>
            <w:tcBorders>
              <w:start w:val="single" w:sz="4" w:space="0" w:color="000000"/>
              <w:bottom w:val="single" w:sz="4" w:space="0" w:color="000000"/>
            </w:tcBorders>
          </w:tcPr>
          <w:p>
            <w:pPr>
              <w:pStyle w:val="TableContents"/>
              <w:bidi w:val="0"/>
              <w:jc w:val="start"/>
              <w:rPr/>
            </w:pPr>
            <w:r>
              <w:rPr/>
              <w:t>Insurance Broker</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Broker for Zone 8</w:t>
            </w:r>
          </w:p>
        </w:tc>
      </w:tr>
      <w:tr>
        <w:trPr/>
        <w:tc>
          <w:tcPr>
            <w:tcW w:w="3212" w:type="dxa"/>
            <w:tcBorders>
              <w:start w:val="single" w:sz="4" w:space="0" w:color="000000"/>
              <w:bottom w:val="single" w:sz="4" w:space="0" w:color="000000"/>
            </w:tcBorders>
          </w:tcPr>
          <w:p>
            <w:pPr>
              <w:pStyle w:val="TableContents"/>
              <w:bidi w:val="0"/>
              <w:jc w:val="start"/>
              <w:rPr/>
            </w:pPr>
            <w:r>
              <w:rPr/>
              <w:t>New Zealand Police</w:t>
            </w:r>
          </w:p>
        </w:tc>
        <w:tc>
          <w:tcPr>
            <w:tcW w:w="3213" w:type="dxa"/>
            <w:tcBorders>
              <w:start w:val="single" w:sz="4" w:space="0" w:color="000000"/>
              <w:bottom w:val="single" w:sz="4" w:space="0" w:color="000000"/>
            </w:tcBorders>
          </w:tcPr>
          <w:p>
            <w:pPr>
              <w:pStyle w:val="TableContents"/>
              <w:bidi w:val="0"/>
              <w:jc w:val="start"/>
              <w:rPr/>
            </w:pPr>
            <w:r>
              <w:rPr/>
              <w:t xml:space="preserve">Vetting </w:t>
            </w:r>
            <w:r>
              <w:rPr/>
              <w:t xml:space="preserve">and </w:t>
            </w:r>
            <w:r>
              <w:rPr>
                <w:color w:val="000000"/>
              </w:rPr>
              <w:t>assistance</w:t>
            </w:r>
            <w:r>
              <w:rPr/>
              <w:t xml:space="preserve"> on crime</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Emergencies dial 111</w:t>
            </w:r>
          </w:p>
        </w:tc>
      </w:tr>
      <w:tr>
        <w:trPr/>
        <w:tc>
          <w:tcPr>
            <w:tcW w:w="3212" w:type="dxa"/>
            <w:tcBorders>
              <w:start w:val="single" w:sz="4" w:space="0" w:color="000000"/>
              <w:bottom w:val="single" w:sz="4" w:space="0" w:color="000000"/>
            </w:tcBorders>
          </w:tcPr>
          <w:p>
            <w:pPr>
              <w:pStyle w:val="TableContents"/>
              <w:bidi w:val="0"/>
              <w:jc w:val="start"/>
              <w:rPr/>
            </w:pPr>
            <w:r>
              <w:rPr/>
              <w:t>New Zealand Ministry of Education</w:t>
            </w:r>
          </w:p>
        </w:tc>
        <w:tc>
          <w:tcPr>
            <w:tcW w:w="3213" w:type="dxa"/>
            <w:tcBorders>
              <w:start w:val="single" w:sz="4" w:space="0" w:color="000000"/>
              <w:bottom w:val="single" w:sz="4" w:space="0" w:color="000000"/>
            </w:tcBorders>
          </w:tcPr>
          <w:p>
            <w:pPr>
              <w:pStyle w:val="TableContents"/>
              <w:bidi w:val="0"/>
              <w:jc w:val="start"/>
              <w:rPr/>
            </w:pPr>
            <w:r>
              <w:rPr/>
              <w:t>Education programme</w:t>
            </w:r>
          </w:p>
        </w:tc>
        <w:tc>
          <w:tcPr>
            <w:tcW w:w="3213"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c>
          <w:tcPr>
            <w:tcW w:w="3212" w:type="dxa"/>
            <w:tcBorders>
              <w:start w:val="single" w:sz="4" w:space="0" w:color="000000"/>
              <w:bottom w:val="single" w:sz="4" w:space="0" w:color="000000"/>
            </w:tcBorders>
          </w:tcPr>
          <w:p>
            <w:pPr>
              <w:pStyle w:val="TableContents"/>
              <w:bidi w:val="0"/>
              <w:jc w:val="start"/>
              <w:rPr/>
            </w:pPr>
            <w:r>
              <w:rPr/>
              <w:t xml:space="preserve">Bach Clinical </w:t>
            </w:r>
            <w:r>
              <w:rPr>
                <w:color w:val="000000"/>
              </w:rPr>
              <w:t>Psychologist</w:t>
            </w:r>
          </w:p>
        </w:tc>
        <w:tc>
          <w:tcPr>
            <w:tcW w:w="3213" w:type="dxa"/>
            <w:tcBorders>
              <w:start w:val="single" w:sz="4" w:space="0" w:color="000000"/>
              <w:bottom w:val="single" w:sz="4" w:space="0" w:color="000000"/>
            </w:tcBorders>
          </w:tcPr>
          <w:p>
            <w:pPr>
              <w:pStyle w:val="TableContents"/>
              <w:bidi w:val="0"/>
              <w:jc w:val="start"/>
              <w:rPr/>
            </w:pPr>
            <w:r>
              <w:rPr/>
              <w:t>Exploitation of children</w:t>
            </w:r>
          </w:p>
        </w:tc>
        <w:tc>
          <w:tcPr>
            <w:tcW w:w="3213"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c>
          <w:tcPr>
            <w:tcW w:w="3212" w:type="dxa"/>
            <w:tcBorders>
              <w:start w:val="single" w:sz="4" w:space="0" w:color="000000"/>
              <w:bottom w:val="single" w:sz="4" w:space="0" w:color="000000"/>
            </w:tcBorders>
          </w:tcPr>
          <w:p>
            <w:pPr>
              <w:pStyle w:val="TableContents"/>
              <w:bidi w:val="0"/>
              <w:jc w:val="start"/>
              <w:rPr/>
            </w:pPr>
            <w:r>
              <w:rPr/>
              <w:t>Sexual Harm</w:t>
            </w:r>
          </w:p>
        </w:tc>
        <w:tc>
          <w:tcPr>
            <w:tcW w:w="3213" w:type="dxa"/>
            <w:tcBorders>
              <w:start w:val="single" w:sz="4" w:space="0" w:color="000000"/>
              <w:bottom w:val="single" w:sz="4" w:space="0" w:color="000000"/>
            </w:tcBorders>
          </w:tcPr>
          <w:p>
            <w:pPr>
              <w:pStyle w:val="TableContents"/>
              <w:widowControl w:val="false"/>
              <w:suppressLineNumbers/>
              <w:bidi w:val="0"/>
              <w:jc w:val="start"/>
              <w:rPr/>
            </w:pPr>
            <w:r>
              <w:rPr/>
              <w:t>https://www.safetotalk.nz/</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New Zealand Government Service with trained specialists 24/7</w:t>
            </w:r>
          </w:p>
        </w:tc>
      </w:tr>
      <w:tr>
        <w:trPr/>
        <w:tc>
          <w:tcPr>
            <w:tcW w:w="3212" w:type="dxa"/>
            <w:tcBorders>
              <w:start w:val="single" w:sz="4" w:space="0" w:color="000000"/>
              <w:bottom w:val="single" w:sz="4" w:space="0" w:color="000000"/>
            </w:tcBorders>
          </w:tcPr>
          <w:p>
            <w:pPr>
              <w:pStyle w:val="TableContents"/>
              <w:bidi w:val="0"/>
              <w:jc w:val="start"/>
              <w:rPr/>
            </w:pPr>
            <w:r>
              <w:rPr/>
              <w:t>Travel documents</w:t>
            </w:r>
          </w:p>
        </w:tc>
        <w:tc>
          <w:tcPr>
            <w:tcW w:w="3213" w:type="dxa"/>
            <w:tcBorders>
              <w:start w:val="single" w:sz="4" w:space="0" w:color="000000"/>
              <w:bottom w:val="single" w:sz="4" w:space="0" w:color="000000"/>
            </w:tcBorders>
          </w:tcPr>
          <w:p>
            <w:pPr>
              <w:pStyle w:val="TableContents"/>
              <w:bidi w:val="0"/>
              <w:jc w:val="start"/>
              <w:rPr/>
            </w:pPr>
            <w:r>
              <w:rPr/>
              <w:t>Travel agency or Embassy or consulate</w:t>
            </w:r>
          </w:p>
        </w:tc>
        <w:tc>
          <w:tcPr>
            <w:tcW w:w="3213"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c>
          <w:tcPr>
            <w:tcW w:w="3212" w:type="dxa"/>
            <w:tcBorders>
              <w:start w:val="single" w:sz="4" w:space="0" w:color="000000"/>
              <w:bottom w:val="single" w:sz="4" w:space="0" w:color="000000"/>
            </w:tcBorders>
          </w:tcPr>
          <w:p>
            <w:pPr>
              <w:pStyle w:val="TableContents"/>
              <w:bidi w:val="0"/>
              <w:jc w:val="start"/>
              <w:rPr/>
            </w:pPr>
            <w:r>
              <w:rPr/>
              <w:t>N</w:t>
            </w:r>
            <w:r>
              <w:rPr/>
              <w:t xml:space="preserve">EMA - </w:t>
            </w:r>
            <w:r>
              <w:rPr/>
              <w:t xml:space="preserve">National </w:t>
            </w:r>
            <w:r>
              <w:rPr>
                <w:rStyle w:val="Emphasis"/>
              </w:rPr>
              <w:t>Emergency Management</w:t>
            </w:r>
            <w:r>
              <w:rPr/>
              <w:t xml:space="preserve"> Agenc</w:t>
            </w:r>
            <w:r>
              <w:rPr/>
              <w:t>y</w:t>
            </w:r>
          </w:p>
        </w:tc>
        <w:tc>
          <w:tcPr>
            <w:tcW w:w="3213" w:type="dxa"/>
            <w:tcBorders>
              <w:start w:val="single" w:sz="4" w:space="0" w:color="000000"/>
              <w:bottom w:val="single" w:sz="4" w:space="0" w:color="000000"/>
            </w:tcBorders>
          </w:tcPr>
          <w:p>
            <w:pPr>
              <w:pStyle w:val="TableContents"/>
              <w:bidi w:val="0"/>
              <w:jc w:val="start"/>
              <w:rPr/>
            </w:pPr>
            <w:r>
              <w:rPr/>
              <w:t xml:space="preserve"> </w:t>
            </w:r>
            <w:r>
              <w:rPr/>
              <w:t xml:space="preserve">is the </w:t>
            </w:r>
            <w:r>
              <w:rPr>
                <w:rStyle w:val="Emphasis"/>
              </w:rPr>
              <w:t>Government</w:t>
            </w:r>
            <w:r>
              <w:rPr/>
              <w:t xml:space="preserve"> lead for </w:t>
            </w:r>
            <w:r>
              <w:rPr>
                <w:rStyle w:val="Emphasis"/>
              </w:rPr>
              <w:t>emergency management</w:t>
            </w:r>
          </w:p>
        </w:tc>
        <w:tc>
          <w:tcPr>
            <w:tcW w:w="3213" w:type="dxa"/>
            <w:tcBorders>
              <w:start w:val="single" w:sz="4" w:space="0" w:color="000000"/>
              <w:bottom w:val="single" w:sz="4" w:space="0" w:color="000000"/>
              <w:end w:val="single" w:sz="4" w:space="0" w:color="000000"/>
            </w:tcBorders>
          </w:tcPr>
          <w:p>
            <w:pPr>
              <w:pStyle w:val="TableContents"/>
              <w:bidi w:val="0"/>
              <w:jc w:val="start"/>
              <w:rPr>
                <w:lang w:val="en-US"/>
              </w:rPr>
            </w:pPr>
            <w:r>
              <w:rPr>
                <w:lang w:val="en-US"/>
              </w:rPr>
              <w:t>0800 400 100.</w:t>
            </w:r>
          </w:p>
        </w:tc>
      </w:tr>
      <w:tr>
        <w:trPr/>
        <w:tc>
          <w:tcPr>
            <w:tcW w:w="3212" w:type="dxa"/>
            <w:tcBorders>
              <w:start w:val="single" w:sz="4" w:space="0" w:color="000000"/>
              <w:bottom w:val="single" w:sz="4" w:space="0" w:color="000000"/>
            </w:tcBorders>
          </w:tcPr>
          <w:p>
            <w:pPr>
              <w:pStyle w:val="TableContents"/>
              <w:widowControl w:val="false"/>
              <w:suppressLineNumbers/>
              <w:bidi w:val="0"/>
              <w:jc w:val="start"/>
              <w:rPr/>
            </w:pPr>
            <w:r>
              <w:rPr/>
            </w:r>
          </w:p>
        </w:tc>
        <w:tc>
          <w:tcPr>
            <w:tcW w:w="3213" w:type="dxa"/>
            <w:tcBorders>
              <w:start w:val="single" w:sz="4" w:space="0" w:color="000000"/>
              <w:bottom w:val="single" w:sz="4" w:space="0" w:color="000000"/>
            </w:tcBorders>
          </w:tcPr>
          <w:p>
            <w:pPr>
              <w:pStyle w:val="TableContents"/>
              <w:widowControl w:val="false"/>
              <w:suppressLineNumbers/>
              <w:bidi w:val="0"/>
              <w:jc w:val="start"/>
              <w:rPr/>
            </w:pPr>
            <w:r>
              <w:rPr/>
            </w:r>
          </w:p>
        </w:tc>
        <w:tc>
          <w:tcPr>
            <w:tcW w:w="3213"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bl>
    <w:p>
      <w:pPr>
        <w:pStyle w:val="BodyText"/>
        <w:bidi w:val="0"/>
        <w:jc w:val="start"/>
        <w:rPr>
          <w:i/>
          <w:color w:val="808080"/>
        </w:rPr>
      </w:pPr>
      <w:r>
        <w:rPr>
          <w:i/>
          <w:color w:val="808080"/>
        </w:rPr>
      </w:r>
    </w:p>
    <w:p>
      <w:pPr>
        <w:pStyle w:val="Heading2"/>
        <w:numPr>
          <w:ilvl w:val="1"/>
          <w:numId w:val="2"/>
        </w:numPr>
        <w:bidi w:val="0"/>
        <w:jc w:val="start"/>
        <w:outlineLvl w:val="0"/>
        <w:rPr/>
      </w:pPr>
      <w:bookmarkStart w:id="4" w:name="__RefHeading___Toc2101_522697639"/>
      <w:bookmarkEnd w:id="4"/>
      <w:r>
        <w:rPr/>
        <w:t>Training Schedule</w:t>
      </w:r>
    </w:p>
    <w:p>
      <w:pPr>
        <w:pStyle w:val="BodyText"/>
        <w:bidi w:val="0"/>
        <w:spacing w:lineRule="auto" w:line="276" w:before="0" w:after="140"/>
        <w:jc w:val="start"/>
        <w:rPr/>
      </w:pPr>
      <w:r>
        <w:rPr/>
        <w:t xml:space="preserve">The district will implement the following training schedule for all individuals involved in </w:t>
      </w:r>
      <w:r>
        <w:rPr/>
        <w:t>t</w:t>
      </w:r>
      <w:r>
        <w:rPr/>
        <w:t xml:space="preserve">he program: </w:t>
      </w:r>
    </w:p>
    <w:p>
      <w:pPr>
        <w:pStyle w:val="BodyText"/>
        <w:bidi w:val="0"/>
        <w:jc w:val="start"/>
        <w:rPr>
          <w:i/>
          <w:color w:val="808080"/>
        </w:rPr>
      </w:pPr>
      <w:r>
        <w:rPr>
          <w:i/>
          <w:color w:val="808080"/>
        </w:rPr>
      </w:r>
    </w:p>
    <w:tbl>
      <w:tblPr>
        <w:tblW w:w="5000" w:type="pct"/>
        <w:jc w:val="start"/>
        <w:tblInd w:w="-5" w:type="dxa"/>
        <w:tblLayout w:type="fixed"/>
        <w:tblCellMar>
          <w:top w:w="55" w:type="dxa"/>
          <w:start w:w="55" w:type="dxa"/>
          <w:bottom w:w="55" w:type="dxa"/>
          <w:end w:w="55" w:type="dxa"/>
        </w:tblCellMar>
      </w:tblPr>
      <w:tblGrid>
        <w:gridCol w:w="3212"/>
        <w:gridCol w:w="3213"/>
        <w:gridCol w:w="3213"/>
      </w:tblGrid>
      <w:tr>
        <w:trPr/>
        <w:tc>
          <w:tcPr>
            <w:tcW w:w="3212" w:type="dxa"/>
            <w:tcBorders>
              <w:top w:val="single" w:sz="4" w:space="0" w:color="000000"/>
              <w:start w:val="single" w:sz="4" w:space="0" w:color="000000"/>
              <w:bottom w:val="single" w:sz="4" w:space="0" w:color="000000"/>
            </w:tcBorders>
          </w:tcPr>
          <w:p>
            <w:pPr>
              <w:pStyle w:val="TableHeading"/>
              <w:bidi w:val="0"/>
              <w:rPr/>
            </w:pPr>
            <w:r>
              <w:rPr/>
              <w:t>Individuals by Class</w:t>
            </w:r>
          </w:p>
        </w:tc>
        <w:tc>
          <w:tcPr>
            <w:tcW w:w="3213" w:type="dxa"/>
            <w:tcBorders>
              <w:top w:val="single" w:sz="4" w:space="0" w:color="000000"/>
              <w:start w:val="single" w:sz="4" w:space="0" w:color="000000"/>
              <w:bottom w:val="single" w:sz="4" w:space="0" w:color="000000"/>
            </w:tcBorders>
          </w:tcPr>
          <w:p>
            <w:pPr>
              <w:pStyle w:val="TableHeading"/>
              <w:bidi w:val="0"/>
              <w:rPr/>
            </w:pPr>
            <w:r>
              <w:rPr/>
              <w:t>Training</w:t>
            </w:r>
          </w:p>
        </w:tc>
        <w:tc>
          <w:tcPr>
            <w:tcW w:w="3213" w:type="dxa"/>
            <w:tcBorders>
              <w:top w:val="single" w:sz="4" w:space="0" w:color="000000"/>
              <w:start w:val="single" w:sz="4" w:space="0" w:color="000000"/>
              <w:bottom w:val="single" w:sz="4" w:space="0" w:color="000000"/>
              <w:end w:val="single" w:sz="4" w:space="0" w:color="000000"/>
            </w:tcBorders>
          </w:tcPr>
          <w:p>
            <w:pPr>
              <w:pStyle w:val="TableHeading"/>
              <w:bidi w:val="0"/>
              <w:rPr/>
            </w:pPr>
            <w:r>
              <w:rPr/>
              <w:t>Record</w:t>
            </w:r>
          </w:p>
        </w:tc>
      </w:tr>
      <w:tr>
        <w:trPr/>
        <w:tc>
          <w:tcPr>
            <w:tcW w:w="3212" w:type="dxa"/>
            <w:tcBorders>
              <w:start w:val="single" w:sz="4" w:space="0" w:color="000000"/>
              <w:bottom w:val="single" w:sz="4" w:space="0" w:color="000000"/>
            </w:tcBorders>
          </w:tcPr>
          <w:p>
            <w:pPr>
              <w:pStyle w:val="TableContents"/>
              <w:bidi w:val="0"/>
              <w:jc w:val="start"/>
              <w:rPr/>
            </w:pPr>
            <w:r>
              <w:rPr/>
              <w:t>District Governor train</w:t>
            </w:r>
          </w:p>
        </w:tc>
        <w:tc>
          <w:tcPr>
            <w:tcW w:w="3213" w:type="dxa"/>
            <w:tcBorders>
              <w:start w:val="single" w:sz="4" w:space="0" w:color="000000"/>
              <w:bottom w:val="single" w:sz="4" w:space="0" w:color="000000"/>
            </w:tcBorders>
          </w:tcPr>
          <w:p>
            <w:pPr>
              <w:pStyle w:val="TableContents"/>
              <w:bidi w:val="0"/>
              <w:jc w:val="start"/>
              <w:rPr/>
            </w:pPr>
            <w:r>
              <w:rPr/>
              <w:t>All DGE</w:t>
            </w:r>
            <w:r>
              <w:rPr>
                <w:color w:val="000000"/>
              </w:rPr>
              <w:t>s, DGNs and DGNNs shall attend or complete:</w:t>
            </w:r>
          </w:p>
          <w:p>
            <w:pPr>
              <w:pStyle w:val="TableContents"/>
              <w:bidi w:val="0"/>
              <w:jc w:val="start"/>
              <w:rPr>
                <w:rFonts w:ascii="Arial" w:hAnsi="Arial"/>
                <w:color w:val="000000"/>
              </w:rPr>
            </w:pPr>
            <w:r>
              <w:rPr>
                <w:color w:val="000000"/>
              </w:rPr>
              <w:t>1. Youth protection modules at Zone Institute</w:t>
            </w:r>
          </w:p>
          <w:p>
            <w:pPr>
              <w:pStyle w:val="TableContents"/>
              <w:bidi w:val="0"/>
              <w:jc w:val="start"/>
              <w:rPr>
                <w:rFonts w:ascii="Arial" w:hAnsi="Arial"/>
                <w:color w:val="000000"/>
              </w:rPr>
            </w:pPr>
            <w:r>
              <w:rPr>
                <w:color w:val="000000"/>
              </w:rPr>
              <w:t>2. RYE at RI Convention, if possible</w:t>
            </w:r>
          </w:p>
          <w:p>
            <w:pPr>
              <w:pStyle w:val="TableContents"/>
              <w:bidi w:val="0"/>
              <w:jc w:val="start"/>
              <w:rPr>
                <w:rFonts w:ascii="Arial" w:hAnsi="Arial"/>
                <w:color w:val="000000"/>
              </w:rPr>
            </w:pPr>
            <w:r>
              <w:rPr>
                <w:color w:val="000000"/>
              </w:rPr>
              <w:t>3. the RI Learning Center courses on Youth Protection and Youth programmes</w:t>
            </w:r>
          </w:p>
        </w:tc>
        <w:tc>
          <w:tcPr>
            <w:tcW w:w="3213"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p>
            <w:pPr>
              <w:pStyle w:val="TableContents"/>
              <w:widowControl w:val="false"/>
              <w:suppressLineNumbers/>
              <w:bidi w:val="0"/>
              <w:jc w:val="start"/>
              <w:rPr/>
            </w:pPr>
            <w:r>
              <w:rPr/>
            </w:r>
          </w:p>
          <w:p>
            <w:pPr>
              <w:pStyle w:val="TableContents"/>
              <w:bidi w:val="0"/>
              <w:jc w:val="start"/>
              <w:rPr/>
            </w:pPr>
            <w:r>
              <w:rPr/>
              <w:t>1. confirmation of attendance</w:t>
            </w:r>
          </w:p>
          <w:p>
            <w:pPr>
              <w:pStyle w:val="TableContents"/>
              <w:bidi w:val="0"/>
              <w:jc w:val="start"/>
              <w:rPr/>
            </w:pPr>
            <w:r>
              <w:rPr/>
            </w:r>
          </w:p>
          <w:p>
            <w:pPr>
              <w:pStyle w:val="TableContents"/>
              <w:bidi w:val="0"/>
              <w:jc w:val="start"/>
              <w:rPr/>
            </w:pPr>
            <w:r>
              <w:rPr/>
              <w:t>2. confirmation if attended (not requirement)</w:t>
            </w:r>
          </w:p>
          <w:p>
            <w:pPr>
              <w:pStyle w:val="TableContents"/>
              <w:bidi w:val="0"/>
              <w:jc w:val="start"/>
              <w:rPr/>
            </w:pPr>
            <w:r>
              <w:rPr/>
            </w:r>
          </w:p>
          <w:p>
            <w:pPr>
              <w:pStyle w:val="TableContents"/>
              <w:bidi w:val="0"/>
              <w:jc w:val="start"/>
              <w:rPr/>
            </w:pPr>
            <w:r>
              <w:rPr/>
              <w:t>3. certificates for all qualifying courses</w:t>
            </w:r>
          </w:p>
          <w:p>
            <w:pPr>
              <w:pStyle w:val="TableContents"/>
              <w:bidi w:val="0"/>
              <w:jc w:val="start"/>
              <w:rPr/>
            </w:pPr>
            <w:r>
              <w:rPr/>
            </w:r>
          </w:p>
        </w:tc>
      </w:tr>
      <w:tr>
        <w:trPr/>
        <w:tc>
          <w:tcPr>
            <w:tcW w:w="3212" w:type="dxa"/>
            <w:tcBorders>
              <w:start w:val="single" w:sz="4" w:space="0" w:color="000000"/>
              <w:bottom w:val="single" w:sz="4" w:space="0" w:color="000000"/>
            </w:tcBorders>
          </w:tcPr>
          <w:p>
            <w:pPr>
              <w:pStyle w:val="TableContents"/>
              <w:bidi w:val="0"/>
              <w:jc w:val="start"/>
              <w:rPr/>
            </w:pPr>
            <w:r>
              <w:rPr/>
              <w:t>Rotary Youth Exchange District Chairs</w:t>
            </w:r>
          </w:p>
        </w:tc>
        <w:tc>
          <w:tcPr>
            <w:tcW w:w="3213" w:type="dxa"/>
            <w:tcBorders>
              <w:start w:val="single" w:sz="4" w:space="0" w:color="000000"/>
              <w:bottom w:val="single" w:sz="4" w:space="0" w:color="000000"/>
            </w:tcBorders>
          </w:tcPr>
          <w:p>
            <w:pPr>
              <w:pStyle w:val="TableContents"/>
              <w:bidi w:val="0"/>
              <w:jc w:val="start"/>
              <w:rPr>
                <w:rFonts w:ascii="Arial" w:hAnsi="Arial"/>
                <w:color w:val="000000"/>
              </w:rPr>
            </w:pPr>
            <w:r>
              <w:rPr>
                <w:color w:val="000000"/>
              </w:rPr>
              <w:t>1. Youth protection modules at Zone Institute</w:t>
            </w:r>
          </w:p>
          <w:p>
            <w:pPr>
              <w:pStyle w:val="TableContents"/>
              <w:bidi w:val="0"/>
              <w:jc w:val="start"/>
              <w:rPr>
                <w:rFonts w:ascii="Arial" w:hAnsi="Arial"/>
                <w:color w:val="000000"/>
              </w:rPr>
            </w:pPr>
            <w:r>
              <w:rPr>
                <w:color w:val="000000"/>
              </w:rPr>
              <w:t>2. RYE at RI Convention, if possible</w:t>
            </w:r>
          </w:p>
          <w:p>
            <w:pPr>
              <w:pStyle w:val="TableContents"/>
              <w:bidi w:val="0"/>
              <w:jc w:val="start"/>
              <w:rPr>
                <w:rFonts w:ascii="Arial" w:hAnsi="Arial"/>
                <w:color w:val="000000"/>
              </w:rPr>
            </w:pPr>
            <w:r>
              <w:rPr>
                <w:color w:val="000000"/>
              </w:rPr>
              <w:t>3. the RI Learning Center courses on Youth Protection and Youth programmes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Club Presidents and Club youth programme chairs if hosting or running a youth programme under a MOU with ROZ Youth Programmes</w:t>
            </w:r>
          </w:p>
        </w:tc>
        <w:tc>
          <w:tcPr>
            <w:tcW w:w="3213" w:type="dxa"/>
            <w:tcBorders>
              <w:start w:val="single" w:sz="4" w:space="0" w:color="000000"/>
              <w:bottom w:val="single" w:sz="4" w:space="0" w:color="000000"/>
            </w:tcBorders>
          </w:tcPr>
          <w:p>
            <w:pPr>
              <w:pStyle w:val="TableContents"/>
              <w:bidi w:val="0"/>
              <w:jc w:val="start"/>
              <w:rPr>
                <w:rFonts w:ascii="Arial" w:hAnsi="Arial"/>
                <w:color w:val="000000"/>
              </w:rPr>
            </w:pPr>
            <w:r>
              <w:rPr>
                <w:color w:val="000000"/>
              </w:rPr>
              <w:t xml:space="preserve">1. Youth protection modules at </w:t>
            </w:r>
            <w:r>
              <w:rPr>
                <w:color w:val="000000"/>
              </w:rPr>
              <w:t>Oceania Learning and Development at SPEDS</w:t>
            </w:r>
          </w:p>
          <w:p>
            <w:pPr>
              <w:pStyle w:val="TableContents"/>
              <w:bidi w:val="0"/>
              <w:jc w:val="start"/>
              <w:rPr/>
            </w:pPr>
            <w:r>
              <w:rPr>
                <w:color w:val="000000"/>
              </w:rPr>
              <w:t xml:space="preserve">2. RYE </w:t>
            </w:r>
            <w:r>
              <w:rPr>
                <w:color w:val="000000"/>
              </w:rPr>
              <w:t>training run by RYE Chairs and District Learning and Development Officers</w:t>
            </w:r>
          </w:p>
          <w:p>
            <w:pPr>
              <w:pStyle w:val="TableContents"/>
              <w:bidi w:val="0"/>
              <w:jc w:val="start"/>
              <w:rPr>
                <w:rFonts w:ascii="Arial" w:hAnsi="Arial"/>
                <w:color w:val="000000"/>
              </w:rPr>
            </w:pPr>
            <w:r>
              <w:rPr>
                <w:color w:val="000000"/>
              </w:rPr>
              <w:t>3. the RI Learning Center courses on Youth Protection and Youth programmes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Rotary Youth Protection Officers</w:t>
            </w:r>
          </w:p>
        </w:tc>
        <w:tc>
          <w:tcPr>
            <w:tcW w:w="3213" w:type="dxa"/>
            <w:tcBorders>
              <w:start w:val="single" w:sz="4" w:space="0" w:color="000000"/>
              <w:bottom w:val="single" w:sz="4" w:space="0" w:color="000000"/>
            </w:tcBorders>
          </w:tcPr>
          <w:p>
            <w:pPr>
              <w:pStyle w:val="Normal"/>
              <w:bidi w:val="0"/>
              <w:jc w:val="start"/>
              <w:rPr>
                <w:rFonts w:ascii="Arial" w:hAnsi="Arial"/>
                <w:color w:val="000000"/>
              </w:rPr>
            </w:pPr>
            <w:r>
              <w:rPr>
                <w:color w:val="000000"/>
              </w:rPr>
              <w:t>1</w:t>
            </w:r>
            <w:r>
              <w:rPr>
                <w:color w:val="000000"/>
              </w:rPr>
              <w:t xml:space="preserve"> Youth protection modules at </w:t>
            </w:r>
            <w:r>
              <w:rPr>
                <w:color w:val="000000"/>
              </w:rPr>
              <w:t>Oceania Learning and Development at SPEDS</w:t>
            </w:r>
          </w:p>
          <w:p>
            <w:pPr>
              <w:pStyle w:val="TableContents"/>
              <w:bidi w:val="0"/>
              <w:jc w:val="start"/>
              <w:rPr/>
            </w:pPr>
            <w:r>
              <w:rPr>
                <w:color w:val="000000"/>
              </w:rPr>
              <w:t xml:space="preserve">2. RYE </w:t>
            </w:r>
            <w:r>
              <w:rPr>
                <w:color w:val="000000"/>
              </w:rPr>
              <w:t>traini</w:t>
            </w:r>
            <w:r>
              <w:rPr>
                <w:color w:val="000000"/>
              </w:rPr>
              <w:t>n</w:t>
            </w:r>
            <w:r>
              <w:rPr>
                <w:color w:val="000000"/>
              </w:rPr>
              <w:t>g run by RYE Chairs and District Learning and Development Officers</w:t>
            </w:r>
          </w:p>
          <w:p>
            <w:pPr>
              <w:pStyle w:val="TableContents"/>
              <w:bidi w:val="0"/>
              <w:jc w:val="start"/>
              <w:rPr>
                <w:rFonts w:ascii="Arial" w:hAnsi="Arial"/>
                <w:color w:val="000000"/>
              </w:rPr>
            </w:pPr>
            <w:r>
              <w:rPr>
                <w:color w:val="000000"/>
              </w:rPr>
              <w:t>3. the RI Learning Center courses on Youth Protection and Youth programmes</w:t>
            </w:r>
          </w:p>
          <w:p>
            <w:pPr>
              <w:pStyle w:val="TableContents"/>
              <w:bidi w:val="0"/>
              <w:jc w:val="start"/>
              <w:rPr>
                <w:rFonts w:ascii="Arial" w:hAnsi="Arial"/>
                <w:color w:val="000000"/>
              </w:rPr>
            </w:pPr>
            <w:r>
              <w:rPr>
                <w:color w:val="000000"/>
              </w:rPr>
              <w:t>4. Training run by the Zone Insurance and Protection Committee (ZIPC)</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Rotary Youth programme Counsellors</w:t>
            </w:r>
          </w:p>
        </w:tc>
        <w:tc>
          <w:tcPr>
            <w:tcW w:w="3213" w:type="dxa"/>
            <w:tcBorders>
              <w:start w:val="single" w:sz="4" w:space="0" w:color="000000"/>
              <w:bottom w:val="single" w:sz="4" w:space="0" w:color="000000"/>
            </w:tcBorders>
          </w:tcPr>
          <w:p>
            <w:pPr>
              <w:pStyle w:val="Normal"/>
              <w:bidi w:val="0"/>
              <w:jc w:val="start"/>
              <w:rPr/>
            </w:pPr>
            <w:r>
              <w:rPr>
                <w:color w:val="000000"/>
              </w:rPr>
              <w:t>1.</w:t>
            </w:r>
            <w:r>
              <w:rPr>
                <w:color w:val="000000"/>
              </w:rPr>
              <w:t xml:space="preserve">RYE </w:t>
            </w:r>
            <w:r>
              <w:rPr>
                <w:color w:val="000000"/>
              </w:rPr>
              <w:t>traini</w:t>
            </w:r>
            <w:r>
              <w:rPr>
                <w:color w:val="000000"/>
              </w:rPr>
              <w:t>n</w:t>
            </w:r>
            <w:r>
              <w:rPr>
                <w:color w:val="000000"/>
              </w:rPr>
              <w:t>g run by RYE Chairs and District Learning and Development Officers</w:t>
            </w:r>
          </w:p>
          <w:p>
            <w:pPr>
              <w:pStyle w:val="TableContents"/>
              <w:bidi w:val="0"/>
              <w:jc w:val="start"/>
              <w:rPr/>
            </w:pPr>
            <w:r>
              <w:rPr>
                <w:color w:val="000000"/>
              </w:rPr>
              <w:t>2.</w:t>
            </w:r>
            <w:r>
              <w:rPr>
                <w:color w:val="000000"/>
              </w:rPr>
              <w:t xml:space="preserve"> the RI Learning Center courses on Youth Protection and Youth programmes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Rotary Youth Programme project managers</w:t>
            </w:r>
          </w:p>
        </w:tc>
        <w:tc>
          <w:tcPr>
            <w:tcW w:w="3213" w:type="dxa"/>
            <w:tcBorders>
              <w:start w:val="single" w:sz="4" w:space="0" w:color="000000"/>
              <w:bottom w:val="single" w:sz="4" w:space="0" w:color="000000"/>
            </w:tcBorders>
          </w:tcPr>
          <w:p>
            <w:pPr>
              <w:pStyle w:val="TableContents"/>
              <w:bidi w:val="0"/>
              <w:jc w:val="start"/>
              <w:rPr/>
            </w:pPr>
            <w:r>
              <w:rPr>
                <w:color w:val="000000"/>
              </w:rPr>
              <w:t>S</w:t>
            </w:r>
            <w:r>
              <w:rPr/>
              <w:t>ame as DG</w:t>
            </w:r>
            <w:r>
              <w:rPr>
                <w:color w:val="000000"/>
              </w:rPr>
              <w:t>’s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Volunteers</w:t>
            </w:r>
          </w:p>
        </w:tc>
        <w:tc>
          <w:tcPr>
            <w:tcW w:w="3213" w:type="dxa"/>
            <w:tcBorders>
              <w:start w:val="single" w:sz="4" w:space="0" w:color="000000"/>
              <w:bottom w:val="single" w:sz="4" w:space="0" w:color="000000"/>
            </w:tcBorders>
          </w:tcPr>
          <w:p>
            <w:pPr>
              <w:pStyle w:val="Normal"/>
              <w:bidi w:val="0"/>
              <w:jc w:val="start"/>
              <w:rPr/>
            </w:pPr>
            <w:r>
              <w:rPr>
                <w:color w:val="000000"/>
              </w:rPr>
              <w:t>1.</w:t>
            </w:r>
            <w:r>
              <w:rPr>
                <w:color w:val="000000"/>
              </w:rPr>
              <w:t xml:space="preserve">RYE </w:t>
            </w:r>
            <w:r>
              <w:rPr>
                <w:color w:val="000000"/>
              </w:rPr>
              <w:t>traini</w:t>
            </w:r>
            <w:r>
              <w:rPr>
                <w:color w:val="000000"/>
              </w:rPr>
              <w:t>n</w:t>
            </w:r>
            <w:r>
              <w:rPr>
                <w:color w:val="000000"/>
              </w:rPr>
              <w:t>g run by RYE Chairs and District Learning and Development Officers</w:t>
            </w:r>
          </w:p>
          <w:p>
            <w:pPr>
              <w:pStyle w:val="TableContents"/>
              <w:bidi w:val="0"/>
              <w:jc w:val="start"/>
              <w:rPr/>
            </w:pPr>
            <w:r>
              <w:rPr>
                <w:color w:val="000000"/>
              </w:rPr>
              <w:t>2.</w:t>
            </w:r>
            <w:r>
              <w:rPr>
                <w:color w:val="000000"/>
              </w:rPr>
              <w:t xml:space="preserve"> the RI Learning Center courses on Youth Protection and Youth programmes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Hosting Parents or Guardians</w:t>
            </w:r>
          </w:p>
        </w:tc>
        <w:tc>
          <w:tcPr>
            <w:tcW w:w="3213" w:type="dxa"/>
            <w:tcBorders>
              <w:start w:val="single" w:sz="4" w:space="0" w:color="000000"/>
              <w:bottom w:val="single" w:sz="4" w:space="0" w:color="000000"/>
            </w:tcBorders>
          </w:tcPr>
          <w:p>
            <w:pPr>
              <w:pStyle w:val="Normal"/>
              <w:bidi w:val="0"/>
              <w:jc w:val="start"/>
              <w:rPr/>
            </w:pPr>
            <w:r>
              <w:rPr>
                <w:color w:val="000000"/>
              </w:rPr>
              <w:t xml:space="preserve">RYE </w:t>
            </w:r>
            <w:r>
              <w:rPr>
                <w:color w:val="000000"/>
              </w:rPr>
              <w:t>traini</w:t>
            </w:r>
            <w:r>
              <w:rPr>
                <w:color w:val="000000"/>
              </w:rPr>
              <w:t>n</w:t>
            </w:r>
            <w:r>
              <w:rPr>
                <w:color w:val="000000"/>
              </w:rPr>
              <w:t>g run by RYE Chairs and District Learning and Development Officers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Normal"/>
              <w:widowControl w:val="false"/>
              <w:bidi w:val="0"/>
              <w:jc w:val="start"/>
              <w:rPr>
                <w:rFonts w:ascii="Arial" w:hAnsi="Arial"/>
                <w:color w:val="000000"/>
              </w:rPr>
            </w:pPr>
            <w:r>
              <w:rPr>
                <w:color w:val="000000"/>
              </w:rPr>
              <w:t>Rotary Oceania Youth Programmes Co-ordinator</w:t>
            </w:r>
          </w:p>
        </w:tc>
        <w:tc>
          <w:tcPr>
            <w:tcW w:w="3213" w:type="dxa"/>
            <w:tcBorders>
              <w:start w:val="single" w:sz="4" w:space="0" w:color="000000"/>
              <w:bottom w:val="single" w:sz="4" w:space="0" w:color="000000"/>
            </w:tcBorders>
          </w:tcPr>
          <w:p>
            <w:pPr>
              <w:pStyle w:val="TableContents"/>
              <w:bidi w:val="0"/>
              <w:jc w:val="start"/>
              <w:rPr/>
            </w:pPr>
            <w:r>
              <w:rPr>
                <w:color w:val="000000"/>
              </w:rPr>
              <w:t>S</w:t>
            </w:r>
            <w:r>
              <w:rPr/>
              <w:t>ame as DG</w:t>
            </w:r>
            <w:r>
              <w:rPr>
                <w:color w:val="000000"/>
              </w:rPr>
              <w:t>’s</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 xml:space="preserve">1. </w:t>
            </w:r>
            <w:r>
              <w:rPr/>
              <w:t>certificates for all qualifying courses</w:t>
            </w:r>
          </w:p>
          <w:p>
            <w:pPr>
              <w:pStyle w:val="TableContents"/>
              <w:bidi w:val="0"/>
              <w:jc w:val="start"/>
              <w:rPr/>
            </w:pPr>
            <w:r>
              <w:rPr/>
            </w:r>
          </w:p>
          <w:p>
            <w:pPr>
              <w:pStyle w:val="TableContents"/>
              <w:bidi w:val="0"/>
              <w:jc w:val="start"/>
              <w:rPr/>
            </w:pPr>
            <w:r>
              <w:rPr/>
              <w:t>2. Police checks</w:t>
            </w:r>
          </w:p>
        </w:tc>
      </w:tr>
      <w:tr>
        <w:trPr/>
        <w:tc>
          <w:tcPr>
            <w:tcW w:w="3212" w:type="dxa"/>
            <w:tcBorders>
              <w:start w:val="single" w:sz="4" w:space="0" w:color="000000"/>
              <w:bottom w:val="single" w:sz="4" w:space="0" w:color="000000"/>
            </w:tcBorders>
          </w:tcPr>
          <w:p>
            <w:pPr>
              <w:pStyle w:val="TableContents"/>
              <w:bidi w:val="0"/>
              <w:jc w:val="start"/>
              <w:rPr/>
            </w:pPr>
            <w:r>
              <w:rPr/>
              <w:t>Document managers</w:t>
            </w:r>
          </w:p>
        </w:tc>
        <w:tc>
          <w:tcPr>
            <w:tcW w:w="3213" w:type="dxa"/>
            <w:tcBorders>
              <w:start w:val="single" w:sz="4" w:space="0" w:color="000000"/>
              <w:bottom w:val="single" w:sz="4" w:space="0" w:color="000000"/>
            </w:tcBorders>
          </w:tcPr>
          <w:p>
            <w:pPr>
              <w:pStyle w:val="TableContents"/>
              <w:bidi w:val="0"/>
              <w:jc w:val="start"/>
              <w:rPr/>
            </w:pPr>
            <w:r>
              <w:rPr/>
              <w:t>ROZops ICT and Documents Officer</w:t>
            </w:r>
          </w:p>
        </w:tc>
        <w:tc>
          <w:tcPr>
            <w:tcW w:w="3213" w:type="dxa"/>
            <w:tcBorders>
              <w:start w:val="single" w:sz="4" w:space="0" w:color="000000"/>
              <w:bottom w:val="single" w:sz="4" w:space="0" w:color="000000"/>
              <w:end w:val="single" w:sz="4" w:space="0" w:color="000000"/>
            </w:tcBorders>
          </w:tcPr>
          <w:p>
            <w:pPr>
              <w:pStyle w:val="TableContents"/>
              <w:bidi w:val="0"/>
              <w:jc w:val="start"/>
              <w:rPr/>
            </w:pPr>
            <w:r>
              <w:rPr/>
              <w:t>1. how to record and protect records relating to Youth</w:t>
            </w:r>
          </w:p>
        </w:tc>
      </w:tr>
    </w:tbl>
    <w:p>
      <w:pPr>
        <w:pStyle w:val="BodyText"/>
        <w:bidi w:val="0"/>
        <w:jc w:val="start"/>
        <w:rPr>
          <w:i/>
          <w:color w:val="808080"/>
        </w:rPr>
      </w:pPr>
      <w:r>
        <w:rPr>
          <w:i/>
          <w:color w:val="808080"/>
        </w:rPr>
      </w:r>
    </w:p>
    <w:p>
      <w:pPr>
        <w:pStyle w:val="Heading2"/>
        <w:numPr>
          <w:ilvl w:val="1"/>
          <w:numId w:val="2"/>
        </w:numPr>
        <w:bidi w:val="0"/>
        <w:jc w:val="start"/>
        <w:outlineLvl w:val="0"/>
        <w:rPr/>
      </w:pPr>
      <w:bookmarkStart w:id="5" w:name="__RefHeading___Toc2103_522697639"/>
      <w:bookmarkEnd w:id="5"/>
      <w:r>
        <w:rPr/>
        <w:t>P</w:t>
      </w:r>
      <w:r>
        <w:rPr/>
        <w:t xml:space="preserve">lanned and Unplanned Simulations </w:t>
      </w:r>
    </w:p>
    <w:p>
      <w:pPr>
        <w:pStyle w:val="BodyText"/>
        <w:bidi w:val="0"/>
        <w:spacing w:lineRule="auto" w:line="276" w:before="0" w:after="140"/>
        <w:jc w:val="start"/>
        <w:rPr/>
      </w:pPr>
      <w:r>
        <w:rPr/>
        <w:t xml:space="preserve">For the purpose of testing for readiness in the event of a crisis, the District Governor may initiate a planned or unplanned simulation of a crisis. The following guidelines will be followed during both a planned and unplanned simulation: </w:t>
      </w:r>
    </w:p>
    <w:p>
      <w:pPr>
        <w:pStyle w:val="BodyText"/>
        <w:bidi w:val="0"/>
        <w:spacing w:lineRule="auto" w:line="276" w:before="0" w:after="140"/>
        <w:jc w:val="start"/>
        <w:rPr/>
      </w:pPr>
      <w:r>
        <w:rPr/>
        <w:t xml:space="preserve">It will be clearly identified that the crisis is a simulation and there is no immediate risk to young people or volunteers. </w:t>
      </w:r>
    </w:p>
    <w:p>
      <w:pPr>
        <w:pStyle w:val="BodyText"/>
        <w:bidi w:val="0"/>
        <w:spacing w:lineRule="auto" w:line="276" w:before="0" w:after="140"/>
        <w:jc w:val="start"/>
        <w:rPr/>
      </w:pPr>
      <w:r>
        <w:rPr/>
        <w:t xml:space="preserve">A crisis simulation shall not be conducted during an active crisis or immediately following a resolved crisis. </w:t>
      </w:r>
    </w:p>
    <w:p>
      <w:pPr>
        <w:pStyle w:val="BodyText"/>
        <w:bidi w:val="0"/>
        <w:spacing w:lineRule="auto" w:line="276" w:before="0" w:after="140"/>
        <w:jc w:val="start"/>
        <w:rPr/>
      </w:pPr>
      <w:r>
        <w:rPr/>
        <w:t xml:space="preserve">A crisis simulation shall not be conducted during a scheduled conference, training event, planned group travel, or other event so as to avoid confusion. </w:t>
      </w:r>
    </w:p>
    <w:p>
      <w:pPr>
        <w:pStyle w:val="BodyText"/>
        <w:bidi w:val="0"/>
        <w:spacing w:lineRule="auto" w:line="276" w:before="0" w:after="140"/>
        <w:jc w:val="start"/>
        <w:rPr/>
      </w:pPr>
      <w:r>
        <w:rPr/>
        <w:t xml:space="preserve">The district governor will confirm when the crisis simulation has ended. </w:t>
      </w:r>
    </w:p>
    <w:p>
      <w:pPr>
        <w:pStyle w:val="BodyText"/>
        <w:bidi w:val="0"/>
        <w:spacing w:lineRule="auto" w:line="276" w:before="0" w:after="140"/>
        <w:jc w:val="start"/>
        <w:rPr/>
      </w:pPr>
      <w:r>
        <w:rPr/>
        <w:t xml:space="preserve">The Crisis Management Team will immediately conduct a debriefing session as outlined in </w:t>
      </w:r>
      <w:r>
        <w:rPr/>
        <w:t>the section below titled</w:t>
      </w:r>
      <w:r>
        <w:rPr/>
        <w:t xml:space="preserve"> </w:t>
      </w:r>
      <w:r>
        <w:rPr/>
        <w:fldChar w:fldCharType="begin"/>
      </w:r>
      <w:r>
        <w:rPr/>
        <w:instrText xml:space="preserve"> REF __RefHeading___Toc2117_522697639 \h </w:instrText>
      </w:r>
      <w:r>
        <w:rPr/>
        <w:fldChar w:fldCharType="separate"/>
      </w:r>
      <w:r>
        <w:rPr/>
        <w:t xml:space="preserve">CRISIS RESOLUTION </w:t>
      </w:r>
      <w:r>
        <w:rPr/>
        <w:fldChar w:fldCharType="end"/>
      </w:r>
      <w:r>
        <w:rPr/>
        <w:t xml:space="preserve">. </w:t>
      </w:r>
    </w:p>
    <w:p>
      <w:pPr>
        <w:pStyle w:val="BodyText"/>
        <w:bidi w:val="0"/>
        <w:jc w:val="start"/>
        <w:rPr>
          <w:i/>
          <w:color w:val="808080"/>
        </w:rPr>
      </w:pPr>
      <w:r>
        <w:rPr>
          <w:i/>
          <w:color w:val="808080"/>
        </w:rPr>
        <w:t xml:space="preserve">Note: A plan is only as good your ability to enact it successfully, therefore it is encouraged that the district governor or the Core CMT do at least one simulation per year, either planned or unplanned. Include other considerations for conducting simulations according to your local circumstances. </w:t>
      </w:r>
    </w:p>
    <w:p>
      <w:pPr>
        <w:pStyle w:val="Heading1"/>
        <w:numPr>
          <w:ilvl w:val="0"/>
          <w:numId w:val="2"/>
        </w:numPr>
        <w:bidi w:val="0"/>
        <w:jc w:val="start"/>
        <w:rPr/>
      </w:pPr>
      <w:bookmarkStart w:id="6" w:name="__RefHeading___Toc2105_522697639"/>
      <w:bookmarkEnd w:id="6"/>
      <w:r>
        <w:rPr/>
        <w:t xml:space="preserve">CRISIS MANAGEMENT TEAM </w:t>
      </w:r>
    </w:p>
    <w:p>
      <w:pPr>
        <w:pStyle w:val="BodyText"/>
        <w:bidi w:val="0"/>
        <w:spacing w:lineRule="auto" w:line="276" w:before="0" w:after="140"/>
        <w:jc w:val="start"/>
        <w:rPr/>
      </w:pPr>
      <w:r>
        <w:rPr/>
        <w:t>The Rotary Districts within Rotary Zone 8 - Oceania Crisis Management Team (</w:t>
      </w:r>
      <w:r>
        <w:rPr>
          <w:b/>
        </w:rPr>
        <w:t>CMT</w:t>
      </w:r>
      <w:r>
        <w:rPr/>
        <w:t xml:space="preserve">) will constitute the following members and include the outlined responsibilities. In the event of a vacancy, temporary leave of absence, or incapacitation of any member of the Core or Additional CMT, the district governor shall designate a trained replacement. </w:t>
      </w:r>
    </w:p>
    <w:p>
      <w:pPr>
        <w:pStyle w:val="Heading2"/>
        <w:numPr>
          <w:ilvl w:val="1"/>
          <w:numId w:val="2"/>
        </w:numPr>
        <w:bidi w:val="0"/>
        <w:jc w:val="start"/>
        <w:outlineLvl w:val="0"/>
        <w:rPr/>
      </w:pPr>
      <w:bookmarkStart w:id="7" w:name="__RefHeading___Toc4574_522697639"/>
      <w:bookmarkEnd w:id="7"/>
      <w:r>
        <w:rPr/>
        <w:t xml:space="preserve">The </w:t>
      </w:r>
      <w:r>
        <w:rPr/>
        <w:t xml:space="preserve">Core Crisis Management Team: </w:t>
      </w:r>
    </w:p>
    <w:p>
      <w:pPr>
        <w:pStyle w:val="BodyText"/>
        <w:bidi w:val="0"/>
        <w:spacing w:lineRule="auto" w:line="276" w:before="0" w:after="140"/>
        <w:jc w:val="start"/>
        <w:rPr/>
      </w:pPr>
      <w:r>
        <w:rPr>
          <w:b/>
          <w:bCs/>
        </w:rPr>
        <w:t>District Governor</w:t>
      </w:r>
      <w:r>
        <w:rPr>
          <w:b/>
          <w:bCs/>
        </w:rPr>
        <w:t>s</w:t>
      </w:r>
      <w:r>
        <w:rPr>
          <w:b/>
          <w:bCs/>
        </w:rPr>
        <w:t>:</w:t>
      </w:r>
      <w:r>
        <w:rPr/>
        <w:t xml:space="preserve"> Responsible for overseeing all aspects of crisis response, convenes meetings, and delegates tasks as necessary. Represents the district and serves as the appointed spokesperson when answering media inquiries. Has ultimate decision-making authority when determining the level of a crisis (upon consultation with the CMT) and actions to take in response to a crisis according to the response protocols. A trained alternate should also be available in case the governor is impacted by the crisis or otherwise unable to perform their crisis management duties. </w:t>
      </w:r>
    </w:p>
    <w:p>
      <w:pPr>
        <w:pStyle w:val="BodyText"/>
        <w:bidi w:val="0"/>
        <w:spacing w:lineRule="auto" w:line="276" w:before="0" w:after="140"/>
        <w:jc w:val="start"/>
        <w:rPr/>
      </w:pPr>
      <w:r>
        <w:rPr>
          <w:b/>
          <w:bCs/>
        </w:rPr>
        <w:t>District Youth Protection Officer</w:t>
      </w:r>
      <w:r>
        <w:rPr>
          <w:b/>
          <w:bCs/>
        </w:rPr>
        <w:t>s</w:t>
      </w:r>
      <w:r>
        <w:rPr>
          <w:b/>
          <w:bCs/>
        </w:rPr>
        <w:t xml:space="preserve">: </w:t>
      </w:r>
      <w:r>
        <w:rPr/>
        <w:t xml:space="preserve">Assists with overseeing crisis response and serves as a consultant (when appropriate) or consults with local experts for guidance when necessary, monitors developments of the situation, and coordinates communication within the district and its clubs and with Rotary International. This person does not need to be an active member of a club to serve in this role. </w:t>
      </w:r>
    </w:p>
    <w:p>
      <w:pPr>
        <w:pStyle w:val="BodyText"/>
        <w:bidi w:val="0"/>
        <w:spacing w:lineRule="auto" w:line="276" w:before="0" w:after="140"/>
        <w:jc w:val="start"/>
        <w:rPr/>
      </w:pPr>
      <w:r>
        <w:rPr>
          <w:b/>
          <w:bCs/>
        </w:rPr>
        <w:t>District Youth Exchange Chair</w:t>
      </w:r>
      <w:r>
        <w:rPr>
          <w:b/>
          <w:bCs/>
        </w:rPr>
        <w:t>s</w:t>
      </w:r>
      <w:r>
        <w:rPr>
          <w:b/>
          <w:bCs/>
        </w:rPr>
        <w:t>:</w:t>
      </w:r>
      <w:r>
        <w:rPr/>
        <w:t xml:space="preserve"> Serves as the main point-of-contact for students and families involved in Rotary Youth Exchange, coordinating communication with them. Responsible for ensuring all students are safe and accounted for in the event of a crisis. Responsible for reporting updates to all members of the CMT. </w:t>
      </w:r>
    </w:p>
    <w:p>
      <w:pPr>
        <w:pStyle w:val="BodyText"/>
        <w:bidi w:val="0"/>
        <w:spacing w:lineRule="auto" w:line="276" w:before="0" w:after="140"/>
        <w:jc w:val="start"/>
        <w:rPr/>
      </w:pPr>
      <w:r>
        <w:rPr>
          <w:b/>
          <w:bCs/>
        </w:rPr>
        <w:t>District Interact Chair</w:t>
      </w:r>
      <w:r>
        <w:rPr>
          <w:b/>
          <w:bCs/>
        </w:rPr>
        <w:t>s</w:t>
      </w:r>
      <w:r>
        <w:rPr>
          <w:b/>
          <w:bCs/>
        </w:rPr>
        <w:t>:</w:t>
      </w:r>
      <w:r>
        <w:rPr/>
        <w:t xml:space="preserve"> Serves as the point-of-contact for youth and families involved in Interact, coordinating communication with them. Responsible for ensuring all students are safe and accounted for in the event of a crisis. Responsible for reporting updates to all members of the CMT. </w:t>
      </w:r>
    </w:p>
    <w:p>
      <w:pPr>
        <w:pStyle w:val="BodyText"/>
        <w:bidi w:val="0"/>
        <w:spacing w:lineRule="auto" w:line="276" w:before="0" w:after="140"/>
        <w:jc w:val="start"/>
        <w:rPr/>
      </w:pPr>
      <w:r>
        <w:rPr>
          <w:b/>
          <w:bCs/>
        </w:rPr>
        <w:t>District RYLA Chair</w:t>
      </w:r>
      <w:r>
        <w:rPr>
          <w:b/>
          <w:bCs/>
        </w:rPr>
        <w:t>s</w:t>
      </w:r>
      <w:r>
        <w:rPr>
          <w:b/>
          <w:bCs/>
        </w:rPr>
        <w:t xml:space="preserve">: </w:t>
      </w:r>
      <w:r>
        <w:rPr/>
        <w:t xml:space="preserve">Serves as the point-of-contact for youth and families involved in Rotary Youth Leadership Awards, coordinating communication with them. Responsible for ensuring all students are safe and accounted for in the event of a crisis. Responsible for reporting updates to all members of the CMT. </w:t>
      </w:r>
    </w:p>
    <w:p>
      <w:pPr>
        <w:pStyle w:val="BodyText"/>
        <w:bidi w:val="0"/>
        <w:jc w:val="start"/>
        <w:rPr>
          <w:b/>
          <w:bCs/>
        </w:rPr>
      </w:pPr>
      <w:r>
        <w:rPr>
          <w:b/>
          <w:bCs/>
        </w:rPr>
        <w:t xml:space="preserve">District Insurance Officers: </w:t>
      </w:r>
      <w:r>
        <w:rPr>
          <w:b w:val="false"/>
          <w:bCs w:val="false"/>
        </w:rPr>
        <w:t xml:space="preserve">Serves as the point of contact with the broker of record and insurer(s) in relation to risk management within the terms of </w:t>
      </w:r>
      <w:r>
        <w:rPr>
          <w:b w:val="false"/>
          <w:bCs w:val="false"/>
        </w:rPr>
        <w:t xml:space="preserve">the various covers.   The District Insurance Officers for Oceania, as a subcommittee of the Zone Insurance and Protection </w:t>
      </w:r>
      <w:r>
        <w:rPr>
          <w:b w:val="false"/>
          <w:bCs w:val="false"/>
        </w:rPr>
        <w:t xml:space="preserve">Committee (which is established under the rules for governance of Zone 8 </w:t>
      </w:r>
      <w:r>
        <w:rPr>
          <w:b w:val="false"/>
          <w:bCs w:val="false"/>
        </w:rPr>
        <w:t>Institute</w:t>
      </w:r>
      <w:r>
        <w:rPr>
          <w:rStyle w:val="FootnoteReference"/>
          <w:b w:val="false"/>
          <w:bCs w:val="false"/>
        </w:rPr>
        <w:footnoteReference w:id="2"/>
      </w:r>
      <w:r>
        <w:rPr>
          <w:b w:val="false"/>
          <w:bCs w:val="false"/>
        </w:rPr>
        <w:t xml:space="preserve">) are responsible </w:t>
      </w:r>
      <w:r>
        <w:rPr>
          <w:b w:val="false"/>
          <w:bCs w:val="false"/>
        </w:rPr>
        <w:t>for organisation, placing and managing the various insurance policies required, especially those relating to youth programmes.</w:t>
      </w:r>
    </w:p>
    <w:p>
      <w:pPr>
        <w:pStyle w:val="BodyText"/>
        <w:bidi w:val="0"/>
        <w:jc w:val="start"/>
        <w:rPr>
          <w:b/>
          <w:bCs/>
        </w:rPr>
      </w:pPr>
      <w:r>
        <w:rPr>
          <w:b/>
          <w:bCs/>
        </w:rPr>
      </w:r>
      <w:r>
        <w:br w:type="page"/>
      </w:r>
    </w:p>
    <w:p>
      <w:pPr>
        <w:pStyle w:val="BodyText"/>
        <w:bidi w:val="0"/>
        <w:jc w:val="start"/>
        <w:rPr/>
      </w:pPr>
      <w:r>
        <w:rPr>
          <w:b/>
          <w:bCs/>
        </w:rPr>
        <w:t xml:space="preserve">Additional Crisis Management Team: </w:t>
      </w:r>
      <w:r>
        <w:rPr>
          <w:rStyle w:val="FootnoteReference"/>
          <w:b/>
          <w:bCs/>
        </w:rPr>
        <w:footnoteReference w:id="3"/>
      </w:r>
    </w:p>
    <w:p>
      <w:pPr>
        <w:pStyle w:val="Heading4"/>
        <w:bidi w:val="0"/>
        <w:ind w:hanging="0" w:start="0"/>
        <w:jc w:val="start"/>
        <w:rPr/>
      </w:pPr>
      <w:bookmarkStart w:id="8" w:name="__RefHeading___Toc27405_39190500"/>
      <w:bookmarkEnd w:id="8"/>
      <w:r>
        <w:rPr/>
        <w:t>1.</w:t>
      </w:r>
      <w:r>
        <w:rPr/>
        <w:t xml:space="preserve"> Coordinator</w:t>
      </w:r>
      <w:r>
        <w:rPr/>
        <w:t>s</w:t>
      </w:r>
      <w:r>
        <w:rPr/>
        <w:t xml:space="preserve"> of Outbounds </w:t>
      </w:r>
      <w:r>
        <w:rPr/>
        <w:t xml:space="preserve">for </w:t>
      </w:r>
      <w:r>
        <w:rPr/>
        <w:t>Oceania</w:t>
      </w:r>
      <w:r>
        <w:rPr/>
        <w:t xml:space="preserve"> exchange students</w:t>
      </w:r>
    </w:p>
    <w:p>
      <w:pPr>
        <w:pStyle w:val="BodyText"/>
        <w:bidi w:val="0"/>
        <w:jc w:val="start"/>
        <w:rPr/>
      </w:pPr>
      <w:r>
        <w:rPr>
          <w:i/>
          <w:color w:val="000000"/>
          <w:lang w:val="en-GB"/>
        </w:rPr>
        <w:t>T</w:t>
      </w:r>
      <w:r>
        <w:rPr>
          <w:i/>
        </w:rPr>
        <w:t xml:space="preserve">he </w:t>
      </w:r>
      <w:r>
        <w:rPr>
          <w:i/>
        </w:rPr>
        <w:t>RYE Outbouand</w:t>
      </w:r>
      <w:r>
        <w:rPr>
          <w:i/>
          <w:color w:val="000000"/>
          <w:lang w:val="en-GB"/>
        </w:rPr>
        <w:t xml:space="preserve"> Co-ordinator’s duties are:</w:t>
      </w:r>
    </w:p>
    <w:p>
      <w:pPr>
        <w:pStyle w:val="BodyText"/>
        <w:bidi w:val="0"/>
        <w:jc w:val="start"/>
        <w:rPr>
          <w:i/>
          <w:color w:val="3465A4"/>
          <w:lang w:val="en-NZ"/>
        </w:rPr>
      </w:pPr>
      <w:r>
        <w:rPr>
          <w:i/>
          <w:color w:val="3465A4"/>
          <w:lang w:val="en-NZ"/>
        </w:rPr>
        <w:t xml:space="preserve">(a) </w:t>
      </w:r>
      <w:r>
        <w:rPr>
          <w:i/>
          <w:color w:val="3465A4"/>
          <w:lang w:val="en-NZ"/>
        </w:rPr>
        <w:t xml:space="preserve">duties are: </w:t>
      </w:r>
    </w:p>
    <w:p>
      <w:pPr>
        <w:pStyle w:val="BodyText"/>
        <w:numPr>
          <w:ilvl w:val="0"/>
          <w:numId w:val="3"/>
        </w:numPr>
        <w:bidi w:val="0"/>
        <w:jc w:val="start"/>
        <w:rPr>
          <w:color w:val="3465A4"/>
        </w:rPr>
      </w:pPr>
      <w:r>
        <w:rPr>
          <w:i/>
          <w:color w:val="3465A4"/>
        </w:rPr>
        <w:t>t</w:t>
      </w:r>
      <w:r>
        <w:rPr>
          <w:i/>
          <w:color w:val="3465A4"/>
        </w:rPr>
        <w:t xml:space="preserve">o work with the </w:t>
      </w:r>
      <w:r>
        <w:rPr>
          <w:i/>
          <w:color w:val="3465A4"/>
          <w:lang w:val="en-GB"/>
        </w:rPr>
        <w:t>ROZ Youth Programmes Co-ordinator</w:t>
      </w:r>
      <w:r>
        <w:rPr>
          <w:i/>
          <w:color w:val="3465A4"/>
        </w:rPr>
        <w:t xml:space="preserve"> responsible for record keeping, communication systems and compliance</w:t>
      </w:r>
    </w:p>
    <w:p>
      <w:pPr>
        <w:pStyle w:val="BodyText"/>
        <w:numPr>
          <w:ilvl w:val="0"/>
          <w:numId w:val="3"/>
        </w:numPr>
        <w:bidi w:val="0"/>
        <w:jc w:val="start"/>
        <w:rPr>
          <w:color w:val="3465A4"/>
          <w:lang w:val="en-NZ"/>
        </w:rPr>
      </w:pPr>
      <w:r>
        <w:rPr>
          <w:i/>
          <w:color w:val="3465A4"/>
          <w:lang w:val="en-NZ"/>
        </w:rPr>
        <w:t xml:space="preserve">reception </w:t>
      </w:r>
      <w:r>
        <w:rPr>
          <w:i/>
          <w:color w:val="3465A4"/>
          <w:lang w:val="en-NZ"/>
        </w:rPr>
        <w:t>planning</w:t>
      </w:r>
    </w:p>
    <w:p>
      <w:pPr>
        <w:pStyle w:val="BodyText"/>
        <w:numPr>
          <w:ilvl w:val="0"/>
          <w:numId w:val="3"/>
        </w:numPr>
        <w:bidi w:val="0"/>
        <w:jc w:val="start"/>
        <w:rPr>
          <w:color w:val="3465A4"/>
          <w:lang w:val="en-NZ"/>
        </w:rPr>
      </w:pPr>
      <w:r>
        <w:rPr>
          <w:i/>
          <w:color w:val="3465A4"/>
          <w:lang w:val="en-NZ"/>
        </w:rPr>
        <w:t xml:space="preserve">selection </w:t>
      </w:r>
      <w:r>
        <w:rPr>
          <w:i/>
          <w:color w:val="3465A4"/>
          <w:lang w:val="en-NZ"/>
        </w:rPr>
        <w:t xml:space="preserve">process support </w:t>
      </w:r>
      <w:r>
        <w:rPr>
          <w:i/>
          <w:color w:val="3465A4"/>
          <w:lang w:val="en-NZ"/>
        </w:rPr>
        <w:t>through provision of systems</w:t>
      </w:r>
    </w:p>
    <w:p>
      <w:pPr>
        <w:pStyle w:val="BodyText"/>
        <w:numPr>
          <w:ilvl w:val="0"/>
          <w:numId w:val="3"/>
        </w:numPr>
        <w:bidi w:val="0"/>
        <w:jc w:val="start"/>
        <w:rPr>
          <w:color w:val="3465A4"/>
          <w:lang w:val="en-NZ"/>
        </w:rPr>
      </w:pPr>
      <w:r>
        <w:rPr>
          <w:i/>
          <w:color w:val="3465A4"/>
          <w:lang w:val="en-NZ"/>
        </w:rPr>
        <w:t xml:space="preserve">assisting the RYE teams in providing </w:t>
      </w:r>
      <w:r>
        <w:rPr>
          <w:i/>
          <w:color w:val="3465A4"/>
          <w:lang w:val="en-NZ"/>
        </w:rPr>
        <w:t xml:space="preserve">guidance of the </w:t>
      </w:r>
      <w:r>
        <w:rPr>
          <w:i/>
          <w:color w:val="3465A4"/>
          <w:lang w:val="en-NZ"/>
        </w:rPr>
        <w:t>intended outbound</w:t>
      </w:r>
      <w:r>
        <w:rPr>
          <w:i/>
          <w:color w:val="3465A4"/>
          <w:lang w:val="en-NZ"/>
        </w:rPr>
        <w:t xml:space="preserve"> exchange students, family members and clubs indicated during the entire period of preparation that precedes their exchange. </w:t>
      </w:r>
    </w:p>
    <w:p>
      <w:pPr>
        <w:pStyle w:val="BodyText"/>
        <w:bidi w:val="0"/>
        <w:jc w:val="start"/>
        <w:rPr>
          <w:i/>
          <w:color w:val="3465A4"/>
          <w:lang w:val="en-NZ"/>
        </w:rPr>
      </w:pPr>
      <w:r>
        <w:rPr>
          <w:i/>
          <w:color w:val="3465A4"/>
          <w:lang w:val="en-NZ"/>
        </w:rPr>
        <w:t xml:space="preserve">(b) </w:t>
      </w:r>
      <w:r>
        <w:rPr>
          <w:i/>
          <w:color w:val="3465A4"/>
          <w:lang w:val="en-NZ"/>
        </w:rPr>
        <w:t>c</w:t>
      </w:r>
      <w:r>
        <w:rPr>
          <w:i/>
          <w:color w:val="3465A4"/>
          <w:lang w:val="en-NZ"/>
        </w:rPr>
        <w:t xml:space="preserve">oordinate the </w:t>
      </w:r>
      <w:r>
        <w:rPr>
          <w:i/>
          <w:color w:val="3465A4"/>
          <w:lang w:val="en-NZ"/>
        </w:rPr>
        <w:t xml:space="preserve">communications in the </w:t>
      </w:r>
      <w:r>
        <w:rPr>
          <w:i/>
          <w:color w:val="3465A4"/>
          <w:lang w:val="en-NZ"/>
        </w:rPr>
        <w:t xml:space="preserve">selection process of the youth exchange program in the </w:t>
      </w:r>
      <w:r>
        <w:rPr>
          <w:i/>
          <w:color w:val="3465A4"/>
          <w:lang w:val="en-NZ"/>
        </w:rPr>
        <w:t>Districts and Clubs</w:t>
      </w:r>
      <w:r>
        <w:rPr>
          <w:i/>
          <w:color w:val="3465A4"/>
          <w:lang w:val="en-NZ"/>
        </w:rPr>
        <w:t xml:space="preserve">: </w:t>
      </w:r>
    </w:p>
    <w:p>
      <w:pPr>
        <w:pStyle w:val="BodyText"/>
        <w:bidi w:val="0"/>
        <w:jc w:val="start"/>
        <w:rPr>
          <w:i/>
          <w:color w:val="3465A4"/>
          <w:lang w:val="en-NZ"/>
        </w:rPr>
      </w:pPr>
      <w:r>
        <w:rPr>
          <w:i/>
          <w:color w:val="3465A4"/>
          <w:lang w:val="en-NZ"/>
        </w:rPr>
        <w:t>(c) ensuring correct record keeping including</w:t>
      </w:r>
      <w:r>
        <w:rPr>
          <w:i/>
          <w:color w:val="3465A4"/>
          <w:lang w:val="en-NZ"/>
        </w:rPr>
        <w:t xml:space="preserve"> written </w:t>
      </w:r>
      <w:r>
        <w:rPr>
          <w:i/>
          <w:color w:val="3465A4"/>
          <w:lang w:val="en-NZ"/>
        </w:rPr>
        <w:t xml:space="preserve">input. </w:t>
      </w:r>
      <w:r>
        <w:rPr>
          <w:i/>
          <w:color w:val="3465A4"/>
          <w:lang w:val="en-NZ"/>
        </w:rPr>
        <w:t>A</w:t>
      </w:r>
      <w:r>
        <w:rPr>
          <w:i/>
          <w:color w:val="3465A4"/>
          <w:lang w:val="en-NZ"/>
        </w:rPr>
        <w:t>pplications forms</w:t>
      </w:r>
      <w:r>
        <w:rPr>
          <w:i/>
          <w:color w:val="3465A4"/>
          <w:lang w:val="en-NZ"/>
        </w:rPr>
        <w:t>, group dynamics and interview</w:t>
      </w:r>
      <w:r>
        <w:rPr>
          <w:i/>
          <w:color w:val="3465A4"/>
          <w:lang w:val="en-NZ"/>
        </w:rPr>
        <w:t>s</w:t>
      </w:r>
      <w:r>
        <w:rPr>
          <w:i/>
          <w:color w:val="3465A4"/>
          <w:lang w:val="en-NZ"/>
        </w:rPr>
        <w:t xml:space="preserve"> with the youth and their families.</w:t>
      </w:r>
    </w:p>
    <w:p>
      <w:pPr>
        <w:pStyle w:val="BodyText"/>
        <w:bidi w:val="0"/>
        <w:jc w:val="start"/>
        <w:rPr>
          <w:color w:val="3465A4"/>
          <w:lang w:val="en-NZ"/>
        </w:rPr>
      </w:pPr>
      <w:r>
        <w:rPr>
          <w:i/>
          <w:color w:val="3465A4"/>
          <w:lang w:val="en-NZ"/>
        </w:rPr>
        <w:t xml:space="preserve">(d) </w:t>
      </w:r>
      <w:r>
        <w:rPr>
          <w:i/>
          <w:color w:val="3465A4"/>
          <w:lang w:val="en-NZ"/>
        </w:rPr>
        <w:t>g</w:t>
      </w:r>
      <w:r>
        <w:rPr>
          <w:i/>
          <w:color w:val="3465A4"/>
          <w:lang w:val="en-NZ"/>
        </w:rPr>
        <w:t xml:space="preserve">uide and </w:t>
      </w:r>
      <w:r>
        <w:rPr>
          <w:i/>
          <w:color w:val="3465A4"/>
          <w:lang w:val="en-NZ"/>
        </w:rPr>
        <w:t xml:space="preserve">provide access to </w:t>
      </w:r>
      <w:r>
        <w:rPr>
          <w:i/>
          <w:color w:val="3465A4"/>
          <w:lang w:val="en-NZ"/>
        </w:rPr>
        <w:t>the</w:t>
      </w:r>
      <w:r>
        <w:rPr>
          <w:i/>
          <w:color w:val="3465A4"/>
          <w:lang w:val="en-NZ"/>
        </w:rPr>
        <w:t xml:space="preserve"> TASKING system to provide ongoing </w:t>
      </w:r>
      <w:r>
        <w:rPr>
          <w:i/>
          <w:color w:val="3465A4"/>
          <w:lang w:val="en-NZ"/>
        </w:rPr>
        <w:t>monitor</w:t>
      </w:r>
      <w:r>
        <w:rPr>
          <w:i/>
          <w:color w:val="3465A4"/>
          <w:lang w:val="en-NZ"/>
        </w:rPr>
        <w:t>ing of</w:t>
      </w:r>
      <w:r>
        <w:rPr>
          <w:i/>
          <w:color w:val="3465A4"/>
          <w:lang w:val="en-NZ"/>
        </w:rPr>
        <w:t xml:space="preserve"> </w:t>
      </w:r>
      <w:r>
        <w:rPr>
          <w:i/>
          <w:color w:val="3465A4"/>
          <w:lang w:val="en-NZ"/>
        </w:rPr>
        <w:t xml:space="preserve">compliance </w:t>
      </w:r>
      <w:r>
        <w:rPr>
          <w:i/>
          <w:color w:val="3465A4"/>
          <w:lang w:val="en-NZ"/>
        </w:rPr>
        <w:t>by the Exchange Officers.</w:t>
      </w:r>
    </w:p>
    <w:p>
      <w:pPr>
        <w:pStyle w:val="BodyText"/>
        <w:bidi w:val="0"/>
        <w:jc w:val="start"/>
        <w:rPr>
          <w:color w:val="3465A4"/>
          <w:lang w:val="en-NZ"/>
        </w:rPr>
      </w:pPr>
      <w:r>
        <w:rPr>
          <w:i/>
          <w:color w:val="3465A4"/>
          <w:lang w:val="en-NZ"/>
        </w:rPr>
        <w:t xml:space="preserve">(e) </w:t>
      </w:r>
      <w:r>
        <w:rPr>
          <w:i/>
          <w:color w:val="3465A4"/>
          <w:lang w:val="en-NZ"/>
        </w:rPr>
        <w:t>c</w:t>
      </w:r>
      <w:r>
        <w:rPr>
          <w:i/>
          <w:color w:val="3465A4"/>
          <w:lang w:val="en-NZ"/>
        </w:rPr>
        <w:t>onduct, together with the Chairperson of the Youth Committee, Chairperson of the Youth Protection Committee, and the Chairperson, the certification of clubs to participate in youth exchange programs.</w:t>
      </w:r>
    </w:p>
    <w:p>
      <w:pPr>
        <w:pStyle w:val="BodyText"/>
        <w:bidi w:val="0"/>
        <w:jc w:val="start"/>
        <w:rPr>
          <w:color w:val="3465A4"/>
          <w:lang w:val="en-NZ"/>
        </w:rPr>
      </w:pPr>
      <w:r>
        <w:rPr>
          <w:i/>
          <w:color w:val="3465A4"/>
          <w:lang w:val="en-NZ"/>
        </w:rPr>
        <w:t xml:space="preserve">(f) Regularly monitor any emergency notifications made through the </w:t>
      </w:r>
      <w:r>
        <w:rPr>
          <w:i/>
          <w:color w:val="3465A4"/>
          <w:lang w:val="en-NZ"/>
        </w:rPr>
        <w:t>the</w:t>
      </w:r>
      <w:r>
        <w:rPr>
          <w:i/>
          <w:color w:val="3465A4"/>
          <w:lang w:val="en-NZ"/>
        </w:rPr>
        <w:t xml:space="preserve"> TASKING system and report potential or actual emergencies to the main </w:t>
      </w:r>
      <w:r>
        <w:rPr>
          <w:i/>
          <w:color w:val="3465A4"/>
          <w:lang w:val="en-NZ"/>
        </w:rPr>
        <w:t>CMT (</w:t>
      </w:r>
      <w:r>
        <w:rPr>
          <w:i/>
          <w:color w:val="3465A4"/>
          <w:lang w:val="en-NZ"/>
        </w:rPr>
        <w:t>crisis management team</w:t>
      </w:r>
      <w:r>
        <w:rPr>
          <w:i/>
          <w:color w:val="3465A4"/>
          <w:lang w:val="en-NZ"/>
        </w:rPr>
        <w:t>)</w:t>
      </w:r>
    </w:p>
    <w:p>
      <w:pPr>
        <w:pStyle w:val="Heading4"/>
        <w:bidi w:val="0"/>
        <w:ind w:hanging="0" w:start="0"/>
        <w:jc w:val="start"/>
        <w:rPr/>
      </w:pPr>
      <w:bookmarkStart w:id="9" w:name="__RefHeading___Toc27407_39190500"/>
      <w:bookmarkEnd w:id="9"/>
      <w:r>
        <w:rPr>
          <w:i/>
        </w:rPr>
        <w:t>2. Coordinator</w:t>
      </w:r>
      <w:r>
        <w:rPr>
          <w:i/>
        </w:rPr>
        <w:t>s</w:t>
      </w:r>
      <w:r>
        <w:rPr>
          <w:i/>
        </w:rPr>
        <w:t xml:space="preserve"> of </w:t>
      </w:r>
      <w:r>
        <w:rPr>
          <w:i/>
        </w:rPr>
        <w:t>In</w:t>
      </w:r>
      <w:r>
        <w:rPr>
          <w:i/>
        </w:rPr>
        <w:t xml:space="preserve">bounds </w:t>
      </w:r>
      <w:r>
        <w:rPr>
          <w:i/>
        </w:rPr>
        <w:t xml:space="preserve">for </w:t>
      </w:r>
      <w:r>
        <w:rPr>
          <w:i/>
        </w:rPr>
        <w:t>Oceania</w:t>
      </w:r>
      <w:r>
        <w:rPr>
          <w:i/>
        </w:rPr>
        <w:t xml:space="preserve"> exchange students:</w:t>
      </w:r>
    </w:p>
    <w:p>
      <w:pPr>
        <w:pStyle w:val="BodyText"/>
        <w:bidi w:val="0"/>
        <w:jc w:val="start"/>
        <w:rPr/>
      </w:pPr>
      <w:r>
        <w:rPr>
          <w:i/>
          <w:color w:val="000000"/>
          <w:lang w:val="en-GB"/>
        </w:rPr>
        <w:t>T</w:t>
      </w:r>
      <w:r>
        <w:rPr>
          <w:i/>
        </w:rPr>
        <w:t xml:space="preserve">he </w:t>
      </w:r>
      <w:r>
        <w:rPr>
          <w:i/>
        </w:rPr>
        <w:t>RYE District Inbound</w:t>
      </w:r>
      <w:r>
        <w:rPr>
          <w:i/>
          <w:color w:val="000000"/>
          <w:lang w:val="en-GB"/>
        </w:rPr>
        <w:t xml:space="preserve"> Co-ordinator’s duties are:</w:t>
      </w:r>
    </w:p>
    <w:p>
      <w:pPr>
        <w:pStyle w:val="BodyText"/>
        <w:bidi w:val="0"/>
        <w:jc w:val="start"/>
        <w:rPr>
          <w:color w:val="3465A4"/>
          <w:lang w:val="en-NZ"/>
        </w:rPr>
      </w:pPr>
      <w:r>
        <w:rPr>
          <w:i/>
          <w:color w:val="3465A4"/>
          <w:lang w:val="en-NZ"/>
        </w:rPr>
        <w:t xml:space="preserve">(a) </w:t>
      </w:r>
      <w:r>
        <w:rPr>
          <w:i/>
          <w:color w:val="3465A4"/>
          <w:lang w:val="en-NZ"/>
        </w:rPr>
        <w:t>duties are:</w:t>
      </w:r>
    </w:p>
    <w:p>
      <w:pPr>
        <w:pStyle w:val="BodyText"/>
        <w:numPr>
          <w:ilvl w:val="0"/>
          <w:numId w:val="4"/>
        </w:numPr>
        <w:bidi w:val="0"/>
        <w:jc w:val="start"/>
        <w:rPr>
          <w:color w:val="3465A4"/>
        </w:rPr>
      </w:pPr>
      <w:r>
        <w:rPr>
          <w:i/>
          <w:color w:val="3465A4"/>
          <w:lang w:val="en-NZ"/>
        </w:rPr>
        <w:t>t</w:t>
      </w:r>
      <w:r>
        <w:rPr>
          <w:i/>
          <w:color w:val="3465A4"/>
          <w:lang w:val="en-NZ"/>
        </w:rPr>
        <w:t xml:space="preserve">o work with the </w:t>
      </w:r>
      <w:r>
        <w:rPr>
          <w:i/>
          <w:color w:val="3465A4"/>
          <w:lang w:val="en-NZ"/>
        </w:rPr>
        <w:t>ROZ Youth Programmes Co-ordinator</w:t>
      </w:r>
      <w:r>
        <w:rPr>
          <w:i/>
          <w:color w:val="3465A4"/>
          <w:lang w:val="en-NZ"/>
        </w:rPr>
        <w:t xml:space="preserve"> </w:t>
      </w:r>
      <w:r>
        <w:rPr>
          <w:i/>
          <w:color w:val="3465A4"/>
          <w:lang w:val="en-NZ"/>
        </w:rPr>
        <w:t>responsible</w:t>
      </w:r>
      <w:r>
        <w:rPr>
          <w:i/>
          <w:color w:val="3465A4"/>
          <w:lang w:val="en-NZ"/>
        </w:rPr>
        <w:t xml:space="preserve"> for record keeping, communication systems and compliance</w:t>
      </w:r>
    </w:p>
    <w:p>
      <w:pPr>
        <w:pStyle w:val="BodyText"/>
        <w:numPr>
          <w:ilvl w:val="0"/>
          <w:numId w:val="4"/>
        </w:numPr>
        <w:bidi w:val="0"/>
        <w:jc w:val="start"/>
        <w:rPr/>
      </w:pPr>
      <w:r>
        <w:rPr>
          <w:i/>
          <w:color w:val="3465A4"/>
          <w:lang w:val="en-NZ"/>
        </w:rPr>
        <w:t xml:space="preserve">to participate in the reception, reception and orientation of foreign exchange students; monitor the mandatory activities of inbounds, such as school </w:t>
      </w:r>
      <w:r>
        <w:rPr>
          <w:i/>
          <w:color w:val="3465A4"/>
          <w:lang w:val="en-NZ"/>
        </w:rPr>
        <w:t>English language</w:t>
      </w:r>
      <w:r>
        <w:rPr>
          <w:i/>
          <w:color w:val="3465A4"/>
          <w:lang w:val="en-NZ"/>
        </w:rPr>
        <w:t xml:space="preserve"> course</w:t>
      </w:r>
      <w:r>
        <w:rPr>
          <w:i/>
          <w:color w:val="3465A4"/>
          <w:lang w:val="en-NZ"/>
        </w:rPr>
        <w:t>s</w:t>
      </w:r>
      <w:r>
        <w:rPr>
          <w:i/>
          <w:color w:val="3465A4"/>
          <w:lang w:val="en-NZ"/>
        </w:rPr>
        <w:t>, volunteer projects and projects focused on the environment.</w:t>
      </w:r>
    </w:p>
    <w:p>
      <w:pPr>
        <w:pStyle w:val="BodyText"/>
        <w:bidi w:val="0"/>
        <w:jc w:val="start"/>
        <w:rPr>
          <w:color w:val="3465A4"/>
          <w:lang w:val="en-NZ"/>
        </w:rPr>
      </w:pPr>
      <w:r>
        <w:rPr>
          <w:i/>
          <w:color w:val="3465A4"/>
          <w:lang w:val="en-NZ"/>
        </w:rPr>
        <w:t>(b)</w:t>
      </w:r>
      <w:r>
        <w:rPr>
          <w:i/>
          <w:color w:val="3465A4"/>
          <w:lang w:val="en-NZ"/>
        </w:rPr>
        <w:t xml:space="preserve"> </w:t>
      </w:r>
      <w:r>
        <w:rPr>
          <w:i/>
          <w:color w:val="3465A4"/>
          <w:lang w:val="en-NZ"/>
        </w:rPr>
        <w:t>g</w:t>
      </w:r>
      <w:r>
        <w:rPr>
          <w:i/>
          <w:color w:val="3465A4"/>
          <w:lang w:val="en-NZ"/>
        </w:rPr>
        <w:t xml:space="preserve">uide and monitor the activities of the </w:t>
      </w:r>
      <w:r>
        <w:rPr>
          <w:i/>
          <w:color w:val="3465A4"/>
          <w:lang w:val="en-NZ"/>
        </w:rPr>
        <w:t>C</w:t>
      </w:r>
      <w:r>
        <w:rPr>
          <w:i/>
          <w:color w:val="3465A4"/>
          <w:lang w:val="en-NZ"/>
        </w:rPr>
        <w:t>lub's Exchange Advisors.</w:t>
      </w:r>
    </w:p>
    <w:p>
      <w:pPr>
        <w:pStyle w:val="BodyText"/>
        <w:bidi w:val="0"/>
        <w:jc w:val="start"/>
        <w:rPr>
          <w:color w:val="3465A4"/>
          <w:lang w:val="en-NZ"/>
        </w:rPr>
      </w:pPr>
      <w:r>
        <w:rPr>
          <w:i/>
          <w:color w:val="3465A4"/>
          <w:lang w:val="en-NZ"/>
        </w:rPr>
        <w:t>(</w:t>
      </w:r>
      <w:r>
        <w:rPr>
          <w:i/>
          <w:color w:val="3465A4"/>
          <w:lang w:val="en-NZ"/>
        </w:rPr>
        <w:t>e</w:t>
      </w:r>
      <w:r>
        <w:rPr>
          <w:i/>
          <w:color w:val="3465A4"/>
          <w:lang w:val="en-NZ"/>
        </w:rPr>
        <w:t xml:space="preserve">) Regularly monitor any emergency notifications made through the </w:t>
      </w:r>
      <w:r>
        <w:rPr>
          <w:i/>
          <w:color w:val="3465A4"/>
          <w:lang w:val="en-NZ"/>
        </w:rPr>
        <w:t>the</w:t>
      </w:r>
      <w:r>
        <w:rPr>
          <w:i/>
          <w:color w:val="3465A4"/>
          <w:lang w:val="en-NZ"/>
        </w:rPr>
        <w:t xml:space="preserve"> TASKING system and report potential or actual emergencies to the main </w:t>
      </w:r>
      <w:r>
        <w:rPr>
          <w:i/>
          <w:color w:val="3465A4"/>
          <w:lang w:val="en-NZ"/>
        </w:rPr>
        <w:t>CMT (</w:t>
      </w:r>
      <w:r>
        <w:rPr>
          <w:i/>
          <w:color w:val="3465A4"/>
          <w:lang w:val="en-NZ"/>
        </w:rPr>
        <w:t>crisis management team</w:t>
      </w:r>
      <w:r>
        <w:rPr>
          <w:i/>
          <w:color w:val="3465A4"/>
          <w:lang w:val="en-NZ"/>
        </w:rPr>
        <w:t>)</w:t>
      </w:r>
    </w:p>
    <w:p>
      <w:pPr>
        <w:pStyle w:val="Heading4"/>
        <w:bidi w:val="0"/>
        <w:ind w:hanging="0" w:start="0"/>
        <w:jc w:val="start"/>
        <w:rPr/>
      </w:pPr>
      <w:bookmarkStart w:id="10" w:name="__RefHeading___Toc27409_39190500"/>
      <w:bookmarkEnd w:id="10"/>
      <w:r>
        <w:rPr>
          <w:i/>
        </w:rPr>
        <w:t xml:space="preserve">3 </w:t>
      </w:r>
      <w:r>
        <w:rPr>
          <w:i/>
        </w:rPr>
        <w:t xml:space="preserve">District </w:t>
      </w:r>
      <w:r>
        <w:rPr>
          <w:i/>
        </w:rPr>
        <w:t>Host Family Coordinator</w:t>
      </w:r>
      <w:r>
        <w:rPr>
          <w:i/>
        </w:rPr>
        <w:t>s</w:t>
      </w:r>
      <w:r>
        <w:rPr>
          <w:i/>
        </w:rPr>
        <w:t xml:space="preserve">: </w:t>
      </w:r>
    </w:p>
    <w:p>
      <w:pPr>
        <w:pStyle w:val="BodyText"/>
        <w:bidi w:val="0"/>
        <w:jc w:val="start"/>
        <w:rPr/>
      </w:pPr>
      <w:r>
        <w:rPr>
          <w:i/>
          <w:color w:val="000000"/>
          <w:lang w:val="en-GB"/>
        </w:rPr>
        <w:t>T</w:t>
      </w:r>
      <w:r>
        <w:rPr>
          <w:i/>
        </w:rPr>
        <w:t xml:space="preserve">he </w:t>
      </w:r>
      <w:r>
        <w:rPr>
          <w:i/>
        </w:rPr>
        <w:t>RYE  Host Famliies</w:t>
      </w:r>
      <w:r>
        <w:rPr>
          <w:i/>
          <w:color w:val="000000"/>
          <w:lang w:val="en-GB"/>
        </w:rPr>
        <w:t xml:space="preserve"> Co-ordinator’s duties are:</w:t>
      </w:r>
    </w:p>
    <w:p>
      <w:pPr>
        <w:pStyle w:val="BodyText"/>
        <w:bidi w:val="0"/>
        <w:jc w:val="start"/>
        <w:rPr>
          <w:color w:val="3465A4"/>
          <w:lang w:val="en-NZ"/>
        </w:rPr>
      </w:pPr>
      <w:r>
        <w:rPr>
          <w:i/>
          <w:color w:val="3465A4"/>
          <w:lang w:val="en-NZ"/>
        </w:rPr>
        <w:t xml:space="preserve">(a) </w:t>
      </w:r>
      <w:r>
        <w:rPr>
          <w:i/>
          <w:color w:val="3465A4"/>
          <w:lang w:val="en-NZ"/>
        </w:rPr>
        <w:t>t</w:t>
      </w:r>
      <w:r>
        <w:rPr>
          <w:i/>
          <w:color w:val="3465A4"/>
          <w:lang w:val="en-NZ"/>
        </w:rPr>
        <w:t xml:space="preserve">o work with the </w:t>
      </w:r>
      <w:r>
        <w:rPr>
          <w:i/>
          <w:color w:val="3465A4"/>
          <w:lang w:val="en-NZ"/>
        </w:rPr>
        <w:t>ROZ Youth Programmes Co-ordinator</w:t>
      </w:r>
      <w:r>
        <w:rPr>
          <w:i/>
          <w:color w:val="3465A4"/>
          <w:lang w:val="en-NZ"/>
        </w:rPr>
        <w:t xml:space="preserve"> </w:t>
      </w:r>
      <w:r>
        <w:rPr>
          <w:i/>
          <w:color w:val="3465A4"/>
          <w:lang w:val="en-NZ"/>
        </w:rPr>
        <w:t>responsible</w:t>
      </w:r>
      <w:r>
        <w:rPr>
          <w:i/>
          <w:color w:val="3465A4"/>
          <w:lang w:val="en-NZ"/>
        </w:rPr>
        <w:t xml:space="preserve"> for record keeping, communication systems and compliance</w:t>
      </w:r>
    </w:p>
    <w:p>
      <w:pPr>
        <w:pStyle w:val="BodyText"/>
        <w:bidi w:val="0"/>
        <w:jc w:val="start"/>
        <w:rPr>
          <w:color w:val="3465A4"/>
          <w:lang w:val="en-NZ"/>
        </w:rPr>
      </w:pPr>
      <w:r>
        <w:rPr>
          <w:i/>
          <w:color w:val="3465A4"/>
          <w:lang w:val="en-NZ"/>
        </w:rPr>
        <w:t xml:space="preserve">(b) </w:t>
      </w:r>
      <w:r>
        <w:rPr>
          <w:i/>
          <w:color w:val="3465A4"/>
          <w:lang w:val="en-NZ"/>
        </w:rPr>
        <w:t>Ensure</w:t>
      </w:r>
      <w:r>
        <w:rPr>
          <w:i/>
          <w:color w:val="3465A4"/>
          <w:lang w:val="en-NZ"/>
        </w:rPr>
        <w:t>, together with the Chairperson and Inbounds Coordinator, the qualification and training of all host families for their certification, must also monitor the work of the club advisors</w:t>
      </w:r>
    </w:p>
    <w:p>
      <w:pPr>
        <w:pStyle w:val="BodyText"/>
        <w:bidi w:val="0"/>
        <w:jc w:val="start"/>
        <w:rPr>
          <w:color w:val="3465A4"/>
          <w:lang w:val="en-NZ"/>
        </w:rPr>
      </w:pPr>
      <w:r>
        <w:rPr>
          <w:i/>
          <w:color w:val="3465A4"/>
          <w:lang w:val="en-NZ"/>
        </w:rPr>
        <w:t>(</w:t>
      </w:r>
      <w:r>
        <w:rPr>
          <w:i/>
          <w:color w:val="3465A4"/>
          <w:lang w:val="en-NZ"/>
        </w:rPr>
        <w:t>c</w:t>
      </w:r>
      <w:r>
        <w:rPr>
          <w:i/>
          <w:color w:val="3465A4"/>
          <w:lang w:val="en-NZ"/>
        </w:rPr>
        <w:t xml:space="preserve">) </w:t>
      </w:r>
      <w:r>
        <w:rPr>
          <w:i/>
          <w:color w:val="3465A4"/>
          <w:lang w:val="en-NZ"/>
        </w:rPr>
        <w:t xml:space="preserve"> keep updated </w:t>
      </w:r>
      <w:r>
        <w:rPr>
          <w:i/>
          <w:color w:val="3465A4"/>
          <w:lang w:val="en-NZ"/>
        </w:rPr>
        <w:t xml:space="preserve">on the communications and any </w:t>
      </w:r>
      <w:r>
        <w:rPr>
          <w:i/>
          <w:color w:val="3465A4"/>
          <w:lang w:val="en-NZ"/>
        </w:rPr>
        <w:t xml:space="preserve"> changes in the youth's families inbounds, </w:t>
      </w:r>
      <w:r>
        <w:rPr>
          <w:i/>
          <w:color w:val="3465A4"/>
          <w:lang w:val="en-NZ"/>
        </w:rPr>
        <w:t>including</w:t>
      </w:r>
      <w:r>
        <w:rPr>
          <w:i/>
          <w:color w:val="3465A4"/>
          <w:lang w:val="en-NZ"/>
        </w:rPr>
        <w:t xml:space="preserve"> regularly monitoring any emergency notifications and reporting potential or actual emergencies to the main crisis management team.</w:t>
      </w:r>
    </w:p>
    <w:p>
      <w:pPr>
        <w:pStyle w:val="Heading4"/>
        <w:bidi w:val="0"/>
        <w:ind w:hanging="0" w:start="0"/>
        <w:jc w:val="start"/>
        <w:rPr/>
      </w:pPr>
      <w:bookmarkStart w:id="11" w:name="__RefHeading___Toc27411_39190500"/>
      <w:bookmarkEnd w:id="11"/>
      <w:r>
        <w:rPr/>
        <w:t>4 School Coordinator</w:t>
      </w:r>
      <w:r>
        <w:rPr/>
        <w:t>s</w:t>
      </w:r>
      <w:r>
        <w:rPr/>
        <w:t xml:space="preserve">: </w:t>
      </w:r>
    </w:p>
    <w:p>
      <w:pPr>
        <w:pStyle w:val="BodyText"/>
        <w:bidi w:val="0"/>
        <w:jc w:val="start"/>
        <w:rPr/>
      </w:pPr>
      <w:r>
        <w:rPr>
          <w:i/>
          <w:color w:val="000000"/>
          <w:lang w:val="en-GB"/>
        </w:rPr>
        <w:t>T</w:t>
      </w:r>
      <w:r>
        <w:rPr>
          <w:i/>
        </w:rPr>
        <w:t xml:space="preserve">he </w:t>
      </w:r>
      <w:r>
        <w:rPr>
          <w:i/>
        </w:rPr>
        <w:t>RYE Schools</w:t>
      </w:r>
      <w:r>
        <w:rPr>
          <w:i/>
          <w:color w:val="000000"/>
          <w:lang w:val="en-GB"/>
        </w:rPr>
        <w:t xml:space="preserve"> Co-ordinator’s duties are:</w:t>
      </w:r>
    </w:p>
    <w:p>
      <w:pPr>
        <w:pStyle w:val="BodyText"/>
        <w:bidi w:val="0"/>
        <w:jc w:val="start"/>
        <w:rPr>
          <w:color w:val="3465A4"/>
          <w:lang w:val="en-NZ"/>
        </w:rPr>
      </w:pPr>
      <w:r>
        <w:rPr>
          <w:i/>
          <w:color w:val="3465A4"/>
          <w:lang w:val="en-NZ"/>
        </w:rPr>
        <w:t xml:space="preserve">(a) Ensure that communications are maintained </w:t>
      </w:r>
      <w:r>
        <w:rPr>
          <w:i/>
          <w:color w:val="3465A4"/>
          <w:lang w:val="en-NZ"/>
        </w:rPr>
        <w:t xml:space="preserve">Must keep in contact with the </w:t>
      </w:r>
      <w:r>
        <w:rPr>
          <w:i/>
          <w:color w:val="3465A4"/>
          <w:lang w:val="en-NZ"/>
        </w:rPr>
        <w:t>designated</w:t>
      </w:r>
      <w:r>
        <w:rPr>
          <w:i/>
          <w:color w:val="3465A4"/>
          <w:lang w:val="en-NZ"/>
        </w:rPr>
        <w:t xml:space="preserve"> coordinators of partner schools, informing the activities that are developed by the Youth Exchange Program</w:t>
      </w:r>
    </w:p>
    <w:p>
      <w:pPr>
        <w:pStyle w:val="Heading4"/>
        <w:bidi w:val="0"/>
        <w:ind w:hanging="0" w:start="0"/>
        <w:jc w:val="start"/>
        <w:rPr/>
      </w:pPr>
      <w:bookmarkStart w:id="12" w:name="__RefHeading___Toc27413_39190500"/>
      <w:bookmarkEnd w:id="12"/>
      <w:r>
        <w:rPr>
          <w:i/>
        </w:rPr>
        <w:t>5</w:t>
      </w:r>
      <w:r>
        <w:rPr>
          <w:i/>
        </w:rPr>
        <w:t xml:space="preserve">  </w:t>
      </w:r>
      <w:r>
        <w:rPr>
          <w:rFonts w:eastAsia="Noto Sans CJK SC" w:cs="FreeSans"/>
          <w:b/>
          <w:bCs/>
          <w:i/>
          <w:iCs/>
          <w:color w:val="000000"/>
          <w:sz w:val="27"/>
          <w:szCs w:val="27"/>
        </w:rPr>
        <w:t>ROZ Youth Programmes Co-ordinator</w:t>
      </w:r>
      <w:r>
        <w:rPr>
          <w:i/>
        </w:rPr>
        <w:t>:</w:t>
      </w:r>
    </w:p>
    <w:p>
      <w:pPr>
        <w:pStyle w:val="BodyText"/>
        <w:bidi w:val="0"/>
        <w:jc w:val="start"/>
        <w:rPr/>
      </w:pPr>
      <w:r>
        <w:rPr>
          <w:i/>
          <w:color w:val="000000"/>
          <w:lang w:val="en-GB"/>
        </w:rPr>
        <w:t>T</w:t>
      </w:r>
      <w:r>
        <w:rPr>
          <w:i/>
        </w:rPr>
        <w:t xml:space="preserve">he </w:t>
      </w:r>
      <w:r>
        <w:rPr>
          <w:i/>
          <w:color w:val="000000"/>
          <w:lang w:val="en-GB"/>
        </w:rPr>
        <w:t>ROZ Youth Programmes Co-ordinator’s duties are:</w:t>
      </w:r>
    </w:p>
    <w:p>
      <w:pPr>
        <w:pStyle w:val="BodyText"/>
        <w:bidi w:val="0"/>
        <w:jc w:val="start"/>
        <w:rPr>
          <w:color w:val="3465A4"/>
          <w:lang w:val="en-NZ"/>
        </w:rPr>
      </w:pPr>
      <w:r>
        <w:rPr>
          <w:i/>
          <w:color w:val="3465A4"/>
          <w:lang w:val="en-NZ"/>
        </w:rPr>
        <w:t xml:space="preserve">(a) </w:t>
      </w:r>
      <w:r>
        <w:rPr>
          <w:i/>
          <w:color w:val="3465A4"/>
          <w:lang w:val="en-NZ"/>
        </w:rPr>
        <w:t xml:space="preserve"> </w:t>
      </w:r>
      <w:r>
        <w:rPr>
          <w:i/>
          <w:color w:val="3465A4"/>
          <w:lang w:val="en-NZ"/>
        </w:rPr>
        <w:t>g</w:t>
      </w:r>
      <w:r>
        <w:rPr>
          <w:i/>
          <w:color w:val="3465A4"/>
          <w:lang w:val="en-NZ"/>
        </w:rPr>
        <w:t>e</w:t>
      </w:r>
      <w:r>
        <w:rPr>
          <w:i/>
          <w:color w:val="3465A4"/>
          <w:lang w:val="en-NZ"/>
        </w:rPr>
        <w:t xml:space="preserve">nerally to provide the infrastructure to enable compliance actions to be recorded and </w:t>
      </w:r>
      <w:r>
        <w:rPr>
          <w:i/>
          <w:color w:val="3465A4"/>
          <w:lang w:val="en-NZ"/>
        </w:rPr>
        <w:t>available</w:t>
      </w:r>
      <w:r>
        <w:rPr>
          <w:i/>
          <w:color w:val="3465A4"/>
          <w:lang w:val="en-NZ"/>
        </w:rPr>
        <w:t xml:space="preserve"> to </w:t>
      </w:r>
      <w:r>
        <w:rPr>
          <w:i/>
          <w:color w:val="3465A4"/>
          <w:lang w:val="en-NZ"/>
        </w:rPr>
        <w:t xml:space="preserve">be accessed by the </w:t>
      </w:r>
      <w:r>
        <w:rPr>
          <w:i/>
          <w:color w:val="3465A4"/>
          <w:lang w:val="en-NZ"/>
        </w:rPr>
        <w:t xml:space="preserve">qualified Rotary Officers </w:t>
      </w:r>
      <w:r>
        <w:rPr>
          <w:i/>
          <w:color w:val="3465A4"/>
          <w:lang w:val="en-NZ"/>
        </w:rPr>
        <w:t xml:space="preserve">that are provided with audited access on a </w:t>
      </w:r>
      <w:r>
        <w:rPr>
          <w:i/>
          <w:color w:val="3465A4"/>
          <w:lang w:val="en-NZ"/>
        </w:rPr>
        <w:t>need to know basis.</w:t>
      </w:r>
    </w:p>
    <w:p>
      <w:pPr>
        <w:pStyle w:val="BodyText"/>
        <w:bidi w:val="0"/>
        <w:jc w:val="start"/>
        <w:rPr>
          <w:color w:val="3465A4"/>
          <w:lang w:val="en-NZ"/>
        </w:rPr>
      </w:pPr>
      <w:r>
        <w:rPr>
          <w:i/>
          <w:color w:val="3465A4"/>
          <w:lang w:val="en-NZ"/>
        </w:rPr>
        <w:t xml:space="preserve">(b) </w:t>
      </w:r>
      <w:r>
        <w:rPr>
          <w:i/>
          <w:color w:val="3465A4"/>
          <w:lang w:val="en-NZ"/>
        </w:rPr>
        <w:t xml:space="preserve">provide logins and capability for the Rotary Officers to maintain Privacy controlled information required to ensure that </w:t>
      </w:r>
      <w:r>
        <w:rPr>
          <w:i/>
          <w:color w:val="3465A4"/>
          <w:lang w:val="en-NZ"/>
        </w:rPr>
        <w:t xml:space="preserve"> inbounds  </w:t>
      </w:r>
      <w:r>
        <w:rPr>
          <w:i/>
          <w:color w:val="3465A4"/>
          <w:lang w:val="en-NZ"/>
        </w:rPr>
        <w:t xml:space="preserve">enrolled </w:t>
      </w:r>
      <w:r>
        <w:rPr>
          <w:i/>
          <w:color w:val="3465A4"/>
          <w:lang w:val="en-NZ"/>
        </w:rPr>
        <w:t xml:space="preserve">school t, contact telephone numbers </w:t>
      </w:r>
      <w:r>
        <w:rPr>
          <w:i/>
          <w:color w:val="3465A4"/>
          <w:lang w:val="en-NZ"/>
        </w:rPr>
        <w:t xml:space="preserve">for the inbounds, their counsellor(s) and host parent(s) are available </w:t>
      </w:r>
      <w:r>
        <w:rPr>
          <w:i/>
          <w:color w:val="3465A4"/>
          <w:lang w:val="en-NZ"/>
        </w:rPr>
        <w:t xml:space="preserve">to be accessed by the </w:t>
      </w:r>
      <w:r>
        <w:rPr>
          <w:i/>
          <w:color w:val="3465A4"/>
          <w:lang w:val="en-NZ"/>
        </w:rPr>
        <w:t xml:space="preserve">qualified Rotary Officers </w:t>
      </w:r>
      <w:r>
        <w:rPr>
          <w:i/>
          <w:color w:val="3465A4"/>
          <w:lang w:val="en-NZ"/>
        </w:rPr>
        <w:t xml:space="preserve">that are provided with audited access on a </w:t>
      </w:r>
      <w:r>
        <w:rPr>
          <w:i/>
          <w:color w:val="3465A4"/>
          <w:lang w:val="en-NZ"/>
        </w:rPr>
        <w:t>need to know basis.</w:t>
      </w:r>
    </w:p>
    <w:p>
      <w:pPr>
        <w:pStyle w:val="BodyText"/>
        <w:bidi w:val="0"/>
        <w:jc w:val="start"/>
        <w:rPr>
          <w:color w:val="3465A4"/>
          <w:lang w:val="en-NZ"/>
        </w:rPr>
      </w:pPr>
      <w:r>
        <w:rPr>
          <w:i/>
          <w:color w:val="3465A4"/>
          <w:lang w:val="en-NZ"/>
        </w:rPr>
        <w:t>(</w:t>
      </w:r>
      <w:r>
        <w:rPr>
          <w:i/>
          <w:color w:val="3465A4"/>
          <w:lang w:val="en-NZ"/>
        </w:rPr>
        <w:t>c</w:t>
      </w:r>
      <w:r>
        <w:rPr>
          <w:i/>
          <w:color w:val="3465A4"/>
          <w:lang w:val="en-NZ"/>
        </w:rPr>
        <w:t xml:space="preserve">)  </w:t>
      </w:r>
      <w:r>
        <w:rPr>
          <w:i/>
          <w:color w:val="3465A4"/>
          <w:lang w:val="en-NZ"/>
        </w:rPr>
        <w:t xml:space="preserve"> </w:t>
      </w:r>
      <w:r>
        <w:rPr>
          <w:i/>
          <w:color w:val="3465A4"/>
          <w:lang w:val="en-NZ"/>
        </w:rPr>
        <w:t>m</w:t>
      </w:r>
      <w:r>
        <w:rPr>
          <w:i/>
          <w:color w:val="3465A4"/>
          <w:lang w:val="en-NZ"/>
        </w:rPr>
        <w:t xml:space="preserve">onitor any emergency notifications and, </w:t>
      </w:r>
      <w:r>
        <w:rPr>
          <w:i/>
          <w:color w:val="3465A4"/>
          <w:lang w:val="en-NZ"/>
        </w:rPr>
        <w:t>if necessary</w:t>
      </w:r>
      <w:r>
        <w:rPr>
          <w:i/>
          <w:color w:val="3465A4"/>
          <w:lang w:val="en-NZ"/>
        </w:rPr>
        <w:t>report potential or actual emergencies to the core crisis management team.</w:t>
      </w:r>
    </w:p>
    <w:p>
      <w:pPr>
        <w:pStyle w:val="Heading4"/>
        <w:bidi w:val="0"/>
        <w:ind w:hanging="0" w:start="0"/>
        <w:jc w:val="start"/>
        <w:rPr/>
      </w:pPr>
      <w:bookmarkStart w:id="13" w:name="__RefHeading___Toc27415_39190500"/>
      <w:bookmarkEnd w:id="13"/>
      <w:r>
        <w:rPr>
          <w:i/>
        </w:rPr>
        <w:t>6</w:t>
      </w:r>
      <w:r>
        <w:rPr>
          <w:i/>
        </w:rPr>
        <w:t xml:space="preserve">  </w:t>
      </w:r>
      <w:r>
        <w:rPr>
          <w:b/>
          <w:bCs/>
          <w:i/>
        </w:rPr>
        <w:t>Club</w:t>
      </w:r>
      <w:r>
        <w:rPr>
          <w:i/>
        </w:rPr>
        <w:t xml:space="preserve"> Exchange Officers:</w:t>
      </w:r>
    </w:p>
    <w:p>
      <w:pPr>
        <w:pStyle w:val="BodyText"/>
        <w:bidi w:val="0"/>
        <w:jc w:val="start"/>
        <w:rPr>
          <w:color w:val="000000"/>
          <w:lang w:val="en-NZ"/>
        </w:rPr>
      </w:pPr>
      <w:r>
        <w:rPr>
          <w:i/>
          <w:color w:val="000000"/>
          <w:lang w:val="en-NZ"/>
        </w:rPr>
        <w:t xml:space="preserve">The role of the Exchange Officer, </w:t>
      </w:r>
      <w:r>
        <w:rPr>
          <w:i/>
          <w:color w:val="000000"/>
          <w:lang w:val="en-NZ"/>
        </w:rPr>
        <w:t>whether Rotary or Rotaract,</w:t>
      </w:r>
      <w:r>
        <w:rPr>
          <w:i/>
          <w:color w:val="000000"/>
          <w:lang w:val="en-NZ"/>
        </w:rPr>
        <w:t xml:space="preserve"> is to:</w:t>
      </w:r>
    </w:p>
    <w:p>
      <w:pPr>
        <w:pStyle w:val="BodyText"/>
        <w:bidi w:val="0"/>
        <w:jc w:val="start"/>
        <w:rPr>
          <w:color w:val="3465A4"/>
          <w:lang w:val="en-NZ"/>
        </w:rPr>
      </w:pPr>
      <w:r>
        <w:rPr>
          <w:i/>
          <w:color w:val="3465A4"/>
          <w:lang w:val="en-NZ"/>
        </w:rPr>
        <w:t xml:space="preserve">(a) </w:t>
      </w:r>
      <w:r>
        <w:rPr>
          <w:i/>
          <w:color w:val="3465A4"/>
          <w:lang w:val="en-NZ"/>
        </w:rPr>
        <w:t>t</w:t>
      </w:r>
      <w:r>
        <w:rPr>
          <w:i/>
          <w:color w:val="3465A4"/>
          <w:lang w:val="en-NZ"/>
        </w:rPr>
        <w:t xml:space="preserve">o work with the </w:t>
      </w:r>
      <w:r>
        <w:rPr>
          <w:i/>
          <w:color w:val="3465A4"/>
          <w:lang w:val="en-NZ"/>
        </w:rPr>
        <w:t>ROZ Youth Programmes Co-ordinator</w:t>
      </w:r>
      <w:r>
        <w:rPr>
          <w:i/>
          <w:color w:val="3465A4"/>
          <w:lang w:val="en-NZ"/>
        </w:rPr>
        <w:t xml:space="preserve"> </w:t>
      </w:r>
      <w:r>
        <w:rPr>
          <w:i/>
          <w:color w:val="3465A4"/>
          <w:lang w:val="en-NZ"/>
        </w:rPr>
        <w:t>responsible</w:t>
      </w:r>
      <w:r>
        <w:rPr>
          <w:i/>
          <w:color w:val="3465A4"/>
          <w:lang w:val="en-NZ"/>
        </w:rPr>
        <w:t xml:space="preserve"> for record keeping, communication systems and compliance</w:t>
      </w:r>
    </w:p>
    <w:p>
      <w:pPr>
        <w:pStyle w:val="BodyText"/>
        <w:bidi w:val="0"/>
        <w:jc w:val="start"/>
        <w:rPr>
          <w:color w:val="3465A4"/>
          <w:lang w:val="en-NZ"/>
        </w:rPr>
      </w:pPr>
      <w:r>
        <w:rPr>
          <w:i/>
          <w:color w:val="3465A4"/>
          <w:lang w:val="en-NZ"/>
        </w:rPr>
        <w:t xml:space="preserve">(b) </w:t>
      </w:r>
      <w:r>
        <w:rPr>
          <w:i/>
          <w:color w:val="3465A4"/>
          <w:lang w:val="en-NZ"/>
        </w:rPr>
        <w:t xml:space="preserve">establish the link between </w:t>
      </w:r>
      <w:r>
        <w:rPr>
          <w:i/>
          <w:color w:val="3465A4"/>
          <w:lang w:val="en-NZ"/>
        </w:rPr>
        <w:t xml:space="preserve">the </w:t>
      </w:r>
      <w:r>
        <w:rPr>
          <w:i/>
          <w:color w:val="3465A4"/>
          <w:lang w:val="en-NZ"/>
        </w:rPr>
        <w:t xml:space="preserve">Club, Exchange Student, Host Families, </w:t>
      </w:r>
      <w:r>
        <w:rPr>
          <w:i/>
          <w:color w:val="3465A4"/>
          <w:lang w:val="en-NZ"/>
        </w:rPr>
        <w:t>Counsellor</w:t>
      </w:r>
      <w:r>
        <w:rPr>
          <w:i/>
          <w:color w:val="3465A4"/>
          <w:lang w:val="en-NZ"/>
        </w:rPr>
        <w:t>, School, and District Youth Exchange Committee, and build on them a solid and well-structured program. T</w:t>
      </w:r>
    </w:p>
    <w:p>
      <w:pPr>
        <w:pStyle w:val="BodyText"/>
        <w:bidi w:val="0"/>
        <w:jc w:val="start"/>
        <w:rPr>
          <w:color w:val="3465A4"/>
          <w:lang w:val="en-NZ"/>
        </w:rPr>
      </w:pPr>
      <w:r>
        <w:rPr>
          <w:i/>
          <w:color w:val="3465A4"/>
          <w:lang w:val="en-NZ"/>
        </w:rPr>
        <w:t xml:space="preserve">(c) </w:t>
      </w:r>
      <w:r>
        <w:rPr>
          <w:i/>
          <w:color w:val="3465A4"/>
          <w:lang w:val="en-NZ"/>
        </w:rPr>
        <w:t xml:space="preserve">regularly monitor any emergency notifications and report potential or actual emergencies to the main </w:t>
      </w:r>
      <w:r>
        <w:rPr>
          <w:i/>
          <w:color w:val="3465A4"/>
          <w:lang w:val="en-NZ"/>
        </w:rPr>
        <w:t>CMT (</w:t>
      </w:r>
      <w:r>
        <w:rPr>
          <w:i/>
          <w:color w:val="3465A4"/>
          <w:lang w:val="en-NZ"/>
        </w:rPr>
        <w:t>crisis management team</w:t>
      </w:r>
      <w:r>
        <w:rPr>
          <w:i/>
          <w:color w:val="3465A4"/>
          <w:lang w:val="en-NZ"/>
        </w:rPr>
        <w:t>)</w:t>
      </w:r>
      <w:r>
        <w:rPr>
          <w:i/>
          <w:color w:val="3465A4"/>
          <w:lang w:val="en-NZ"/>
        </w:rPr>
        <w:t>.</w:t>
      </w:r>
    </w:p>
    <w:p>
      <w:pPr>
        <w:pStyle w:val="Heading4"/>
        <w:bidi w:val="0"/>
        <w:ind w:hanging="0" w:start="0"/>
        <w:jc w:val="start"/>
        <w:rPr/>
      </w:pPr>
      <w:bookmarkStart w:id="14" w:name="__RefHeading___Toc27417_39190500"/>
      <w:bookmarkEnd w:id="14"/>
      <w:r>
        <w:rPr>
          <w:i/>
        </w:rPr>
        <w:t>7</w:t>
      </w:r>
      <w:r>
        <w:rPr>
          <w:i/>
        </w:rPr>
        <w:t xml:space="preserve"> Rotary Club Exchange </w:t>
      </w:r>
      <w:r>
        <w:rPr>
          <w:rFonts w:ascii="Arial" w:hAnsi="Arial"/>
          <w:i/>
        </w:rPr>
        <w:t>Advisers</w:t>
      </w:r>
      <w:r>
        <w:rPr>
          <w:i/>
        </w:rPr>
        <w:t>:</w:t>
      </w:r>
    </w:p>
    <w:p>
      <w:pPr>
        <w:pStyle w:val="BodyText"/>
        <w:bidi w:val="0"/>
        <w:jc w:val="start"/>
        <w:rPr>
          <w:i/>
          <w:color w:val="000000"/>
          <w:lang w:val="en-NZ"/>
        </w:rPr>
      </w:pPr>
      <w:r>
        <w:rPr>
          <w:i/>
          <w:color w:val="000000"/>
          <w:lang w:val="en-NZ"/>
        </w:rPr>
        <w:t>It is the role of the Advisor to:</w:t>
      </w:r>
    </w:p>
    <w:p>
      <w:pPr>
        <w:pStyle w:val="BodyText"/>
        <w:bidi w:val="0"/>
        <w:jc w:val="start"/>
        <w:rPr>
          <w:color w:val="3465A4"/>
          <w:lang w:val="en-NZ"/>
        </w:rPr>
      </w:pPr>
      <w:r>
        <w:rPr>
          <w:i/>
          <w:color w:val="3465A4"/>
          <w:lang w:val="en-NZ"/>
        </w:rPr>
        <w:t xml:space="preserve">(a) </w:t>
      </w:r>
      <w:r>
        <w:rPr>
          <w:i/>
          <w:color w:val="3465A4"/>
          <w:lang w:val="en-NZ"/>
        </w:rPr>
        <w:t>t</w:t>
      </w:r>
      <w:r>
        <w:rPr>
          <w:i/>
          <w:color w:val="3465A4"/>
          <w:lang w:val="en-NZ"/>
        </w:rPr>
        <w:t xml:space="preserve">o work with the </w:t>
      </w:r>
      <w:r>
        <w:rPr>
          <w:i/>
          <w:color w:val="3465A4"/>
          <w:lang w:val="en-NZ"/>
        </w:rPr>
        <w:t>ROZ Youth Programmes Co-ordinator</w:t>
      </w:r>
      <w:r>
        <w:rPr>
          <w:i/>
          <w:color w:val="3465A4"/>
          <w:lang w:val="en-NZ"/>
        </w:rPr>
        <w:t xml:space="preserve"> </w:t>
      </w:r>
      <w:r>
        <w:rPr>
          <w:i/>
          <w:color w:val="3465A4"/>
          <w:lang w:val="en-NZ"/>
        </w:rPr>
        <w:t>responsible</w:t>
      </w:r>
      <w:r>
        <w:rPr>
          <w:i/>
          <w:color w:val="3465A4"/>
          <w:lang w:val="en-NZ"/>
        </w:rPr>
        <w:t xml:space="preserve"> for record keeping, communication systems and compliance</w:t>
      </w:r>
    </w:p>
    <w:p>
      <w:pPr>
        <w:pStyle w:val="BodyText"/>
        <w:bidi w:val="0"/>
        <w:jc w:val="start"/>
        <w:rPr>
          <w:color w:val="3465A4"/>
          <w:lang w:val="en-NZ"/>
        </w:rPr>
      </w:pPr>
      <w:r>
        <w:rPr>
          <w:i/>
          <w:color w:val="3465A4"/>
          <w:lang w:val="en-NZ"/>
        </w:rPr>
        <w:t>(b) to</w:t>
      </w:r>
      <w:r>
        <w:rPr>
          <w:i/>
          <w:color w:val="3465A4"/>
          <w:lang w:val="en-NZ"/>
        </w:rPr>
        <w:t xml:space="preserve"> support the inbound youth during their exchange year. The Club Advisor is the Rotarian that the student will have the most contact with. It is advised that he/she is neither a member of the host family nor the Exchange Officer at the club. If a problem arises, it is important that the young person feel free to speak with </w:t>
      </w:r>
      <w:r>
        <w:rPr>
          <w:i/>
          <w:color w:val="3465A4"/>
          <w:lang w:val="en-NZ"/>
        </w:rPr>
        <w:t xml:space="preserve">and does have regular contact with their assigned </w:t>
      </w:r>
      <w:r>
        <w:rPr>
          <w:i/>
          <w:color w:val="3465A4"/>
          <w:lang w:val="en-NZ"/>
        </w:rPr>
        <w:t xml:space="preserve"> </w:t>
      </w:r>
      <w:r>
        <w:rPr>
          <w:i/>
          <w:color w:val="3465A4"/>
          <w:lang w:val="en-NZ"/>
        </w:rPr>
        <w:t>Counsellor.</w:t>
      </w:r>
    </w:p>
    <w:p>
      <w:pPr>
        <w:pStyle w:val="BodyText"/>
        <w:bidi w:val="0"/>
        <w:jc w:val="start"/>
        <w:rPr>
          <w:i/>
          <w:color w:val="3465A4"/>
          <w:lang w:val="en-NZ"/>
        </w:rPr>
      </w:pPr>
      <w:r>
        <w:rPr>
          <w:i/>
          <w:color w:val="3465A4"/>
          <w:lang w:val="en-NZ"/>
        </w:rPr>
      </w:r>
    </w:p>
    <w:p>
      <w:pPr>
        <w:pStyle w:val="BodyText"/>
        <w:bidi w:val="0"/>
        <w:jc w:val="start"/>
        <w:rPr>
          <w:color w:val="3465A4"/>
          <w:lang w:val="en-NZ"/>
        </w:rPr>
      </w:pPr>
      <w:r>
        <w:rPr>
          <w:i/>
          <w:color w:val="3465A4"/>
          <w:lang w:val="en-NZ"/>
        </w:rPr>
        <w:t xml:space="preserve">(c) </w:t>
      </w:r>
      <w:r>
        <w:rPr>
          <w:i/>
          <w:color w:val="3465A4"/>
          <w:lang w:val="en-NZ"/>
        </w:rPr>
        <w:t>accompany the host families, providing family changes, adapting the young people to school, cultural, social and family activities.</w:t>
      </w:r>
    </w:p>
    <w:p>
      <w:pPr>
        <w:pStyle w:val="BodyText"/>
        <w:bidi w:val="0"/>
        <w:jc w:val="start"/>
        <w:rPr>
          <w:color w:val="3465A4"/>
          <w:lang w:val="en-NZ"/>
        </w:rPr>
      </w:pPr>
      <w:r>
        <w:rPr>
          <w:i/>
          <w:color w:val="3465A4"/>
          <w:lang w:val="en-NZ"/>
        </w:rPr>
        <w:t xml:space="preserve">(d) </w:t>
      </w:r>
      <w:r>
        <w:rPr>
          <w:i/>
          <w:color w:val="3465A4"/>
          <w:lang w:val="en-NZ"/>
        </w:rPr>
        <w:t xml:space="preserve"> </w:t>
      </w:r>
      <w:r>
        <w:rPr>
          <w:i/>
          <w:color w:val="3465A4"/>
          <w:lang w:val="en-NZ"/>
        </w:rPr>
        <w:t>r</w:t>
      </w:r>
      <w:r>
        <w:rPr>
          <w:i/>
          <w:color w:val="3465A4"/>
          <w:lang w:val="en-NZ"/>
        </w:rPr>
        <w:t>egularly monitor any emergency notifications and report potential or actual emergencies to the main crisis management team.</w:t>
      </w:r>
    </w:p>
    <w:p>
      <w:pPr>
        <w:pStyle w:val="Heading4"/>
        <w:bidi w:val="0"/>
        <w:ind w:hanging="0" w:start="0"/>
        <w:jc w:val="start"/>
        <w:rPr/>
      </w:pPr>
      <w:bookmarkStart w:id="15" w:name="__RefHeading___Toc27419_39190500"/>
      <w:bookmarkEnd w:id="15"/>
      <w:r>
        <w:rPr>
          <w:i/>
        </w:rPr>
        <w:t>8</w:t>
      </w:r>
      <w:r>
        <w:rPr>
          <w:i/>
        </w:rPr>
        <w:t xml:space="preserve">- </w:t>
      </w:r>
      <w:r>
        <w:rPr>
          <w:i/>
        </w:rPr>
        <w:t>Any o</w:t>
      </w:r>
      <w:r>
        <w:rPr>
          <w:i/>
        </w:rPr>
        <w:t xml:space="preserve">ther members of the youth exchange team: </w:t>
      </w:r>
    </w:p>
    <w:p>
      <w:pPr>
        <w:pStyle w:val="BodyText"/>
        <w:bidi w:val="0"/>
        <w:jc w:val="start"/>
        <w:rPr>
          <w:i/>
          <w:color w:val="000000"/>
          <w:lang w:val="en-NZ"/>
        </w:rPr>
      </w:pPr>
      <w:r>
        <w:rPr>
          <w:i/>
          <w:color w:val="000000"/>
          <w:lang w:val="en-NZ"/>
        </w:rPr>
        <w:t>Duties are to:</w:t>
      </w:r>
    </w:p>
    <w:p>
      <w:pPr>
        <w:pStyle w:val="BodyText"/>
        <w:bidi w:val="0"/>
        <w:jc w:val="start"/>
        <w:rPr>
          <w:color w:val="3465A4"/>
          <w:lang w:val="en-NZ"/>
        </w:rPr>
      </w:pPr>
      <w:r>
        <w:rPr>
          <w:i/>
          <w:color w:val="3465A4"/>
          <w:lang w:val="en-NZ"/>
        </w:rPr>
        <w:t>(a)</w:t>
      </w:r>
      <w:r>
        <w:rPr>
          <w:i/>
          <w:color w:val="3465A4"/>
          <w:lang w:val="en-NZ"/>
        </w:rPr>
        <w:t xml:space="preserve"> participate in all activities related to Youth Exchange Programs </w:t>
      </w:r>
      <w:r>
        <w:rPr>
          <w:i/>
          <w:color w:val="3465A4"/>
          <w:lang w:val="en-NZ"/>
        </w:rPr>
        <w:t>as delegated to them</w:t>
      </w:r>
    </w:p>
    <w:p>
      <w:pPr>
        <w:pStyle w:val="BodyText"/>
        <w:bidi w:val="0"/>
        <w:jc w:val="start"/>
        <w:rPr>
          <w:color w:val="3465A4"/>
          <w:lang w:val="en-NZ"/>
        </w:rPr>
      </w:pPr>
      <w:r>
        <w:rPr>
          <w:i/>
          <w:color w:val="3465A4"/>
          <w:lang w:val="en-NZ"/>
        </w:rPr>
        <w:t xml:space="preserve">(b) </w:t>
      </w:r>
      <w:r>
        <w:rPr>
          <w:i/>
          <w:color w:val="3465A4"/>
          <w:lang w:val="en-NZ"/>
        </w:rPr>
        <w:t xml:space="preserve"> be </w:t>
      </w:r>
      <w:r>
        <w:rPr>
          <w:i/>
          <w:color w:val="3465A4"/>
          <w:lang w:val="en-NZ"/>
        </w:rPr>
        <w:t xml:space="preserve">and remain </w:t>
      </w:r>
      <w:r>
        <w:rPr>
          <w:i/>
          <w:color w:val="3465A4"/>
          <w:lang w:val="en-NZ"/>
        </w:rPr>
        <w:t xml:space="preserve">certified to participate in Youth Programs, and </w:t>
      </w:r>
    </w:p>
    <w:p>
      <w:pPr>
        <w:pStyle w:val="BodyText"/>
        <w:bidi w:val="0"/>
        <w:jc w:val="start"/>
        <w:rPr>
          <w:color w:val="3465A4"/>
          <w:lang w:val="en-NZ"/>
        </w:rPr>
      </w:pPr>
      <w:r>
        <w:rPr>
          <w:i/>
          <w:color w:val="3465A4"/>
          <w:lang w:val="en-NZ"/>
        </w:rPr>
        <w:t xml:space="preserve">(c) </w:t>
      </w:r>
      <w:r>
        <w:rPr>
          <w:i/>
          <w:color w:val="3465A4"/>
          <w:lang w:val="en-NZ"/>
        </w:rPr>
        <w:t>regularly monitor any emergency notifications and report potential or actual emergencies to the main crisis management team.</w:t>
      </w:r>
    </w:p>
    <w:p>
      <w:pPr>
        <w:pStyle w:val="BodyText"/>
        <w:bidi w:val="0"/>
        <w:spacing w:lineRule="auto" w:line="276" w:before="0" w:after="140"/>
        <w:jc w:val="start"/>
        <w:rPr/>
      </w:pPr>
      <w:r>
        <w:rPr/>
      </w:r>
    </w:p>
    <w:p>
      <w:pPr>
        <w:pStyle w:val="BodyText"/>
        <w:bidi w:val="0"/>
        <w:spacing w:lineRule="auto" w:line="276" w:before="0" w:after="140"/>
        <w:jc w:val="start"/>
        <w:rPr/>
      </w:pPr>
      <w:bookmarkStart w:id="16" w:name="__RefHeading___Toc2107_522697639"/>
      <w:bookmarkEnd w:id="16"/>
      <w:r>
        <w:rPr/>
        <w:t xml:space="preserve">CRISIS SITUATIONS &amp; RESPONSE PROTOCOLS </w:t>
      </w:r>
    </w:p>
    <w:p>
      <w:pPr>
        <w:pStyle w:val="BodyText"/>
        <w:bidi w:val="0"/>
        <w:spacing w:lineRule="auto" w:line="276" w:before="0" w:after="140"/>
        <w:jc w:val="start"/>
        <w:rPr/>
      </w:pPr>
      <w:r>
        <w:rPr/>
        <w:t xml:space="preserve">Each section below outlines crisis situations by type and the appropriate protocols to be </w:t>
      </w:r>
    </w:p>
    <w:p>
      <w:pPr>
        <w:pStyle w:val="BodyText"/>
        <w:bidi w:val="0"/>
        <w:jc w:val="start"/>
        <w:rPr/>
      </w:pPr>
      <w:r>
        <w:rPr/>
        <w:t>followed depending on the Level.</w:t>
      </w:r>
    </w:p>
    <w:p>
      <w:pPr>
        <w:pStyle w:val="BodyText"/>
        <w:bidi w:val="0"/>
        <w:jc w:val="start"/>
        <w:rPr/>
      </w:pPr>
      <w:r>
        <w:rPr/>
        <w:t xml:space="preserve">The Core CMT and ultimately the district governor decides the level of a crisis and when to escalate or de-escalate a crisis. </w:t>
      </w:r>
    </w:p>
    <w:p>
      <w:pPr>
        <w:pStyle w:val="BodyText"/>
        <w:bidi w:val="0"/>
        <w:jc w:val="start"/>
        <w:rPr>
          <w:i/>
          <w:color w:val="808080"/>
        </w:rPr>
      </w:pPr>
      <w:r>
        <w:rPr>
          <w:i/>
          <w:color w:val="808080"/>
        </w:rPr>
        <w:t xml:space="preserve">Note: Below are two examples of a response protocol based on three crisis levels. </w:t>
      </w:r>
    </w:p>
    <w:p>
      <w:pPr>
        <w:pStyle w:val="BodyText"/>
        <w:bidi w:val="0"/>
        <w:jc w:val="start"/>
        <w:rPr>
          <w:i/>
          <w:color w:val="808080"/>
        </w:rPr>
      </w:pPr>
      <w:r>
        <w:rPr>
          <w:i/>
          <w:color w:val="808080"/>
        </w:rPr>
        <w:t xml:space="preserve">Develop a set of response protocols based on each type of crisis as noted in the table of </w:t>
      </w:r>
    </w:p>
    <w:p>
      <w:pPr>
        <w:pStyle w:val="BodyText"/>
        <w:bidi w:val="0"/>
        <w:jc w:val="start"/>
        <w:rPr>
          <w:i/>
          <w:color w:val="808080"/>
        </w:rPr>
      </w:pPr>
      <w:r>
        <w:rPr>
          <w:i/>
          <w:color w:val="808080"/>
        </w:rPr>
        <w:t xml:space="preserve">contents or include additional types according to your local circumstances. Because each </w:t>
      </w:r>
    </w:p>
    <w:p>
      <w:pPr>
        <w:pStyle w:val="BodyText"/>
        <w:bidi w:val="0"/>
        <w:jc w:val="start"/>
        <w:rPr>
          <w:i/>
          <w:color w:val="808080"/>
        </w:rPr>
      </w:pPr>
      <w:r>
        <w:rPr>
          <w:i/>
          <w:color w:val="808080"/>
        </w:rPr>
        <w:t xml:space="preserve">type of crisis requires a different response, it is important to have clearly defined definitions for each level and the response protocols for each. Also consider developing checklists for each type of crisis as noted in the best practices section. </w:t>
      </w:r>
    </w:p>
    <w:p>
      <w:pPr>
        <w:pStyle w:val="Heading2"/>
        <w:numPr>
          <w:ilvl w:val="1"/>
          <w:numId w:val="2"/>
        </w:numPr>
        <w:bidi w:val="0"/>
        <w:jc w:val="start"/>
        <w:outlineLvl w:val="0"/>
        <w:rPr/>
      </w:pPr>
      <w:bookmarkStart w:id="17" w:name="__RefHeading___Toc2109_522697639"/>
      <w:bookmarkEnd w:id="17"/>
      <w:r>
        <w:rPr/>
        <w:t xml:space="preserve">Accidents </w:t>
      </w:r>
    </w:p>
    <w:p>
      <w:pPr>
        <w:pStyle w:val="Heading3"/>
        <w:keepNext w:val="true"/>
        <w:numPr>
          <w:ilvl w:val="2"/>
          <w:numId w:val="2"/>
        </w:numPr>
        <w:bidi w:val="0"/>
        <w:spacing w:before="140" w:after="120"/>
        <w:ind w:hanging="0" w:start="1134" w:end="0"/>
        <w:jc w:val="start"/>
        <w:outlineLvl w:val="0"/>
        <w:rPr/>
      </w:pPr>
      <w:bookmarkStart w:id="18" w:name="__RefHeading___Toc2111_522697639"/>
      <w:bookmarkEnd w:id="18"/>
      <w:r>
        <w:rPr>
          <w:color w:val="2A6099"/>
        </w:rPr>
        <w:t>Level I – Minor Injury/Accident:</w:t>
      </w:r>
      <w:r>
        <w:rPr/>
        <w:t xml:space="preserve"> </w:t>
      </w:r>
    </w:p>
    <w:p>
      <w:pPr>
        <w:pStyle w:val="Normal"/>
        <w:bidi w:val="0"/>
        <w:jc w:val="start"/>
        <w:rPr/>
      </w:pPr>
      <w:r>
        <w:rPr/>
        <w:t xml:space="preserve">The emergency (or perceived emergency) does not currently present a significant health or safety risk and does not appear to require medical intervention </w:t>
      </w:r>
    </w:p>
    <w:p>
      <w:pPr>
        <w:pStyle w:val="BodyText"/>
        <w:bidi w:val="0"/>
        <w:spacing w:lineRule="auto" w:line="276" w:before="0" w:after="140"/>
        <w:jc w:val="start"/>
        <w:rPr/>
      </w:pPr>
      <w:r>
        <w:rPr/>
        <w:t xml:space="preserve">and involves only one or two people. </w:t>
      </w:r>
    </w:p>
    <w:p>
      <w:pPr>
        <w:pStyle w:val="BodyText"/>
        <w:numPr>
          <w:ilvl w:val="0"/>
          <w:numId w:val="5"/>
        </w:numPr>
        <w:bidi w:val="0"/>
        <w:jc w:val="start"/>
        <w:rPr/>
      </w:pPr>
      <w:r>
        <w:rPr/>
        <w:t>Immediately alert the on-site or responsible health, safety, or medical personnel to assess the injury/accident</w:t>
      </w:r>
    </w:p>
    <w:p>
      <w:pPr>
        <w:pStyle w:val="BodyText"/>
        <w:numPr>
          <w:ilvl w:val="0"/>
          <w:numId w:val="5"/>
        </w:numPr>
        <w:bidi w:val="0"/>
        <w:jc w:val="start"/>
        <w:rPr/>
      </w:pPr>
      <w:r>
        <w:rPr/>
        <w:t>Have a qualified/trained volunteer administer first aid to the injured person(s) and safely transport them to the designated area of refuge if needed</w:t>
      </w:r>
    </w:p>
    <w:p>
      <w:pPr>
        <w:pStyle w:val="BodyText"/>
        <w:numPr>
          <w:ilvl w:val="0"/>
          <w:numId w:val="5"/>
        </w:numPr>
        <w:bidi w:val="0"/>
        <w:jc w:val="start"/>
        <w:rPr/>
      </w:pPr>
      <w:r>
        <w:rPr/>
        <w:t xml:space="preserve">Continue to monitor the affected person(s) and contact emergency medical assistance if necessary (escalate to Level II) </w:t>
      </w:r>
    </w:p>
    <w:p>
      <w:pPr>
        <w:pStyle w:val="BodyText"/>
        <w:numPr>
          <w:ilvl w:val="0"/>
          <w:numId w:val="5"/>
        </w:numPr>
        <w:bidi w:val="0"/>
        <w:jc w:val="start"/>
        <w:rPr/>
      </w:pPr>
      <w:r>
        <w:rPr/>
        <w:t xml:space="preserve">Contact the parent/guardian within 24 hours of the injury/accident </w:t>
      </w:r>
    </w:p>
    <w:p>
      <w:pPr>
        <w:pStyle w:val="BodyText"/>
        <w:numPr>
          <w:ilvl w:val="0"/>
          <w:numId w:val="5"/>
        </w:numPr>
        <w:bidi w:val="0"/>
        <w:jc w:val="start"/>
        <w:rPr/>
      </w:pPr>
      <w:r>
        <w:rPr/>
        <w:t>Report the injury/accident to the District Youth Protection Officer,</w:t>
      </w:r>
      <w:r>
        <w:rPr/>
        <w:t xml:space="preserve"> the District I</w:t>
      </w:r>
      <w:r>
        <w:rPr>
          <w:color w:val="000000"/>
          <w:lang w:val="en-GB"/>
        </w:rPr>
        <w:t>n</w:t>
      </w:r>
      <w:r>
        <w:rPr/>
        <w:t xml:space="preserve">surance Officer </w:t>
      </w:r>
      <w:r>
        <w:rPr/>
        <w:t xml:space="preserve">and Rotary </w:t>
      </w:r>
      <w:r>
        <w:rPr/>
        <w:t>I</w:t>
      </w:r>
      <w:r>
        <w:rPr/>
        <w:t xml:space="preserve">nternational within 72 hours of the injury/accident </w:t>
      </w:r>
    </w:p>
    <w:p>
      <w:pPr>
        <w:pStyle w:val="BodyText"/>
        <w:bidi w:val="0"/>
        <w:jc w:val="start"/>
        <w:rPr/>
      </w:pPr>
      <w:r>
        <w:rPr/>
        <w:t xml:space="preserve">If more than two people are affected by a minor </w:t>
      </w:r>
      <w:r>
        <w:rPr/>
        <w:t>i</w:t>
      </w:r>
      <w:r>
        <w:rPr/>
        <w:t>njury/accident, follow the response protocol for Level II.</w:t>
      </w:r>
    </w:p>
    <w:p>
      <w:pPr>
        <w:pStyle w:val="BodyText"/>
        <w:bidi w:val="0"/>
        <w:spacing w:lineRule="auto" w:line="276" w:before="0" w:after="140"/>
        <w:jc w:val="start"/>
        <w:rPr/>
      </w:pPr>
      <w:r>
        <w:rPr/>
        <w:t xml:space="preserve">_______________________________________________________________________ </w:t>
      </w:r>
    </w:p>
    <w:p>
      <w:pPr>
        <w:pStyle w:val="Heading3"/>
        <w:keepNext w:val="true"/>
        <w:numPr>
          <w:ilvl w:val="2"/>
          <w:numId w:val="2"/>
        </w:numPr>
        <w:bidi w:val="0"/>
        <w:spacing w:before="140" w:after="120"/>
        <w:ind w:hanging="0" w:start="1134" w:end="0"/>
        <w:jc w:val="start"/>
        <w:outlineLvl w:val="0"/>
        <w:rPr/>
      </w:pPr>
      <w:bookmarkStart w:id="19" w:name="__RefHeading___Toc2113_522697639"/>
      <w:bookmarkEnd w:id="19"/>
      <w:r>
        <w:rPr>
          <w:color w:val="2A6099"/>
        </w:rPr>
        <w:t>Level II – Serious Injury/Accident:</w:t>
      </w:r>
      <w:r>
        <w:rPr/>
        <w:t xml:space="preserve"> </w:t>
      </w:r>
    </w:p>
    <w:p>
      <w:pPr>
        <w:pStyle w:val="BodyText"/>
        <w:bidi w:val="0"/>
        <w:jc w:val="start"/>
        <w:rPr/>
      </w:pPr>
      <w:r>
        <w:rPr/>
        <w:t>The emergency (or perceived emergency) may present a significant health or safety risk and requires medical intervention for one or more person or more than two people are affected by a minor injury/accident:</w:t>
      </w:r>
    </w:p>
    <w:p>
      <w:pPr>
        <w:pStyle w:val="BodyText"/>
        <w:numPr>
          <w:ilvl w:val="0"/>
          <w:numId w:val="6"/>
        </w:numPr>
        <w:bidi w:val="0"/>
        <w:jc w:val="start"/>
        <w:rPr/>
      </w:pPr>
      <w:r>
        <w:rPr/>
        <w:t xml:space="preserve">Immediately alert the on-site or responsible health, safety, or medical personnel to assess the injury/accident </w:t>
      </w:r>
    </w:p>
    <w:p>
      <w:pPr>
        <w:pStyle w:val="BodyText"/>
        <w:numPr>
          <w:ilvl w:val="0"/>
          <w:numId w:val="6"/>
        </w:numPr>
        <w:bidi w:val="0"/>
        <w:jc w:val="start"/>
        <w:rPr/>
      </w:pPr>
      <w:r>
        <w:rPr/>
        <w:t>Im</w:t>
      </w:r>
      <w:r>
        <w:rPr/>
        <w:t>m</w:t>
      </w:r>
      <w:r>
        <w:rPr/>
        <w:t xml:space="preserve">ediately contact emergency medical services </w:t>
      </w:r>
    </w:p>
    <w:p>
      <w:pPr>
        <w:pStyle w:val="BodyText"/>
        <w:numPr>
          <w:ilvl w:val="0"/>
          <w:numId w:val="6"/>
        </w:numPr>
        <w:bidi w:val="0"/>
        <w:jc w:val="start"/>
        <w:rPr/>
      </w:pPr>
      <w:r>
        <w:rPr/>
        <w:t xml:space="preserve">Have a qualified/trained volunteer administer first aid to the injured person(s) and safely transport them to the designated area of refuge if needed </w:t>
      </w:r>
    </w:p>
    <w:p>
      <w:pPr>
        <w:pStyle w:val="BodyText"/>
        <w:numPr>
          <w:ilvl w:val="0"/>
          <w:numId w:val="6"/>
        </w:numPr>
        <w:bidi w:val="0"/>
        <w:jc w:val="start"/>
        <w:rPr/>
      </w:pPr>
      <w:r>
        <w:rPr/>
        <w:t xml:space="preserve">Ensure that other youth program participants are being supervised while attending to </w:t>
      </w:r>
    </w:p>
    <w:p>
      <w:pPr>
        <w:pStyle w:val="BodyText"/>
        <w:numPr>
          <w:ilvl w:val="0"/>
          <w:numId w:val="6"/>
        </w:numPr>
        <w:bidi w:val="0"/>
        <w:jc w:val="start"/>
        <w:rPr/>
      </w:pPr>
      <w:r>
        <w:rPr/>
        <w:t xml:space="preserve">the needs of the injured person(s) </w:t>
      </w:r>
    </w:p>
    <w:p>
      <w:pPr>
        <w:pStyle w:val="BodyText"/>
        <w:numPr>
          <w:ilvl w:val="0"/>
          <w:numId w:val="6"/>
        </w:numPr>
        <w:bidi w:val="0"/>
        <w:jc w:val="start"/>
        <w:rPr/>
      </w:pPr>
      <w:r>
        <w:rPr/>
        <w:t xml:space="preserve">As soon as emergency medical services arrive, contact the parent/guardian and District Youth Protection Officer </w:t>
      </w:r>
      <w:r>
        <w:rPr/>
        <w:t>and the District I</w:t>
      </w:r>
      <w:r>
        <w:rPr>
          <w:color w:val="000000"/>
          <w:lang w:val="en-GB"/>
        </w:rPr>
        <w:t>n</w:t>
      </w:r>
      <w:r>
        <w:rPr/>
        <w:t>surance Officer</w:t>
      </w:r>
    </w:p>
    <w:p>
      <w:pPr>
        <w:pStyle w:val="BodyText"/>
        <w:numPr>
          <w:ilvl w:val="0"/>
          <w:numId w:val="6"/>
        </w:numPr>
        <w:bidi w:val="0"/>
        <w:jc w:val="start"/>
        <w:rPr/>
      </w:pPr>
      <w:r>
        <w:rPr/>
        <w:t>If the person(s) are required to be transported to a hospital or emergency medical facility, designate an adult volunteer to accompany them and other adult volunteers to supervise remaining youth program participants</w:t>
      </w:r>
    </w:p>
    <w:p>
      <w:pPr>
        <w:pStyle w:val="BodyText"/>
        <w:numPr>
          <w:ilvl w:val="0"/>
          <w:numId w:val="6"/>
        </w:numPr>
        <w:bidi w:val="0"/>
        <w:jc w:val="start"/>
        <w:rPr/>
      </w:pPr>
      <w:r>
        <w:rPr/>
        <w:t xml:space="preserve">Contact the designated person responsible for insurance-related questions or claims to determine what steps may be required to report to insurance provider(s) </w:t>
      </w:r>
    </w:p>
    <w:p>
      <w:pPr>
        <w:pStyle w:val="BodyText"/>
        <w:numPr>
          <w:ilvl w:val="0"/>
          <w:numId w:val="6"/>
        </w:numPr>
        <w:bidi w:val="0"/>
        <w:jc w:val="start"/>
        <w:rPr/>
      </w:pPr>
      <w:r>
        <w:rPr/>
        <w:t xml:space="preserve">Determine if there will or may be any media coverage and activate your media crisis response protocols </w:t>
      </w:r>
    </w:p>
    <w:p>
      <w:pPr>
        <w:pStyle w:val="BodyText"/>
        <w:numPr>
          <w:ilvl w:val="0"/>
          <w:numId w:val="6"/>
        </w:numPr>
        <w:bidi w:val="0"/>
        <w:jc w:val="start"/>
        <w:rPr/>
      </w:pPr>
      <w:r>
        <w:rPr/>
        <w:t>Report the injury/accident to the District Youth Protection Officer and Rotary International within 72 hours of the injury/accident.</w:t>
      </w:r>
    </w:p>
    <w:p>
      <w:pPr>
        <w:pStyle w:val="Heading3"/>
        <w:keepNext w:val="true"/>
        <w:numPr>
          <w:ilvl w:val="2"/>
          <w:numId w:val="2"/>
        </w:numPr>
        <w:bidi w:val="0"/>
        <w:spacing w:before="140" w:after="120"/>
        <w:ind w:hanging="0" w:start="1134" w:end="0"/>
        <w:jc w:val="start"/>
        <w:outlineLvl w:val="0"/>
        <w:rPr/>
      </w:pPr>
      <w:bookmarkStart w:id="20" w:name="__RefHeading___Toc2115_522697639"/>
      <w:bookmarkEnd w:id="20"/>
      <w:r>
        <w:rPr/>
        <w:t>Level III – Critical Injury/Accident:</w:t>
      </w:r>
    </w:p>
    <w:p>
      <w:pPr>
        <w:pStyle w:val="BodyText"/>
        <w:bidi w:val="0"/>
        <w:jc w:val="start"/>
        <w:rPr/>
      </w:pPr>
      <w:r>
        <w:rPr/>
        <w:t xml:space="preserve">The emergency (or perceived emergency) presents a significant or critical health or safety risk and requires immediate medical intervention or life-saving procedure: </w:t>
      </w:r>
    </w:p>
    <w:p>
      <w:pPr>
        <w:pStyle w:val="BodyText"/>
        <w:numPr>
          <w:ilvl w:val="0"/>
          <w:numId w:val="7"/>
        </w:numPr>
        <w:bidi w:val="0"/>
        <w:jc w:val="start"/>
        <w:rPr/>
      </w:pPr>
      <w:r>
        <w:rPr/>
        <w:t xml:space="preserve">Immediately alert the on-site or responsible health, safety, or medical personnel to assess the injury/accident </w:t>
      </w:r>
    </w:p>
    <w:p>
      <w:pPr>
        <w:pStyle w:val="BodyText"/>
        <w:numPr>
          <w:ilvl w:val="0"/>
          <w:numId w:val="7"/>
        </w:numPr>
        <w:bidi w:val="0"/>
        <w:jc w:val="start"/>
        <w:rPr/>
      </w:pPr>
      <w:r>
        <w:rPr/>
        <w:t xml:space="preserve">Immediately contact emergency medical services </w:t>
      </w:r>
    </w:p>
    <w:p>
      <w:pPr>
        <w:pStyle w:val="BodyText"/>
        <w:numPr>
          <w:ilvl w:val="0"/>
          <w:numId w:val="7"/>
        </w:numPr>
        <w:bidi w:val="0"/>
        <w:jc w:val="start"/>
        <w:rPr/>
      </w:pPr>
      <w:r>
        <w:rPr/>
        <w:t xml:space="preserve">Have a qualified/trained volunteer administer first aid to the injured person(s) and safely transport them to the designated area of refuge if needed </w:t>
      </w:r>
    </w:p>
    <w:p>
      <w:pPr>
        <w:pStyle w:val="BodyText"/>
        <w:numPr>
          <w:ilvl w:val="0"/>
          <w:numId w:val="7"/>
        </w:numPr>
        <w:bidi w:val="0"/>
        <w:jc w:val="start"/>
        <w:rPr/>
      </w:pPr>
      <w:r>
        <w:rPr/>
        <w:t xml:space="preserve">Ensure that other youth program participants are being supervised while attending to the needs of the injured person(s) </w:t>
      </w:r>
    </w:p>
    <w:p>
      <w:pPr>
        <w:pStyle w:val="BodyText"/>
        <w:numPr>
          <w:ilvl w:val="0"/>
          <w:numId w:val="7"/>
        </w:numPr>
        <w:bidi w:val="0"/>
        <w:jc w:val="start"/>
        <w:rPr/>
      </w:pPr>
      <w:r>
        <w:rPr/>
        <w:t xml:space="preserve">As soon emergency medical services arrive, contact the parent/guardian and District </w:t>
      </w:r>
      <w:r>
        <w:rPr/>
        <w:t>Y</w:t>
      </w:r>
      <w:r>
        <w:rPr/>
        <w:t xml:space="preserve">outh Protection Officer </w:t>
      </w:r>
      <w:r>
        <w:rPr/>
        <w:t>and the District I</w:t>
      </w:r>
      <w:r>
        <w:rPr>
          <w:color w:val="000000"/>
          <w:lang w:val="en-GB"/>
        </w:rPr>
        <w:t>n</w:t>
      </w:r>
      <w:r>
        <w:rPr/>
        <w:t>surance Officer</w:t>
      </w:r>
    </w:p>
    <w:p>
      <w:pPr>
        <w:pStyle w:val="BodyText"/>
        <w:numPr>
          <w:ilvl w:val="0"/>
          <w:numId w:val="7"/>
        </w:numPr>
        <w:bidi w:val="0"/>
        <w:jc w:val="start"/>
        <w:rPr/>
      </w:pPr>
      <w:r>
        <w:rPr/>
        <w:t xml:space="preserve">Designate an adult volunteer to accompany the person(s) to a hospital or emergency medical facility and designate other adult volunteers to supervise remaining youth program participants </w:t>
      </w:r>
    </w:p>
    <w:p>
      <w:pPr>
        <w:pStyle w:val="BodyText"/>
        <w:numPr>
          <w:ilvl w:val="0"/>
          <w:numId w:val="7"/>
        </w:numPr>
        <w:bidi w:val="0"/>
        <w:jc w:val="start"/>
        <w:rPr/>
      </w:pPr>
      <w:r>
        <w:rPr/>
        <w:t xml:space="preserve">Contact the designated person responsible for insurance-related questions or claims to determine what steps may be required to report to insurance provider(s) </w:t>
      </w:r>
    </w:p>
    <w:p>
      <w:pPr>
        <w:pStyle w:val="BodyText"/>
        <w:numPr>
          <w:ilvl w:val="0"/>
          <w:numId w:val="7"/>
        </w:numPr>
        <w:bidi w:val="0"/>
        <w:jc w:val="start"/>
        <w:rPr/>
      </w:pPr>
      <w:r>
        <w:rPr/>
        <w:t xml:space="preserve">Determine if there will or may be any media coverage and activate your media crisis response protocols </w:t>
      </w:r>
    </w:p>
    <w:p>
      <w:pPr>
        <w:pStyle w:val="BodyText"/>
        <w:numPr>
          <w:ilvl w:val="0"/>
          <w:numId w:val="7"/>
        </w:numPr>
        <w:bidi w:val="0"/>
        <w:jc w:val="start"/>
        <w:rPr/>
      </w:pPr>
      <w:r>
        <w:rPr/>
        <w:t>Report the injury/accident to the District Youth Protection Officer,</w:t>
      </w:r>
      <w:r>
        <w:rPr/>
        <w:t xml:space="preserve"> the District I</w:t>
      </w:r>
      <w:r>
        <w:rPr>
          <w:color w:val="000000"/>
          <w:lang w:val="en-GB"/>
        </w:rPr>
        <w:t>n</w:t>
      </w:r>
      <w:r>
        <w:rPr/>
        <w:t>surance Officer</w:t>
      </w:r>
      <w:r>
        <w:rPr/>
        <w:t xml:space="preserve"> and Rotary International within 72 hours of the injury/accident .</w:t>
      </w:r>
    </w:p>
    <w:p>
      <w:pPr>
        <w:pStyle w:val="BodyText"/>
        <w:bidi w:val="0"/>
        <w:jc w:val="start"/>
        <w:rPr>
          <w:i/>
          <w:color w:val="808080"/>
        </w:rPr>
      </w:pPr>
      <w:r>
        <w:rPr>
          <w:i/>
          <w:color w:val="808080"/>
        </w:rPr>
        <w:t xml:space="preserve">Note: Create additional levels or protocols depending on your local circumstances. </w:t>
      </w:r>
    </w:p>
    <w:p>
      <w:pPr>
        <w:pStyle w:val="Heading2"/>
        <w:numPr>
          <w:ilvl w:val="1"/>
          <w:numId w:val="2"/>
        </w:numPr>
        <w:bidi w:val="0"/>
        <w:jc w:val="start"/>
        <w:outlineLvl w:val="0"/>
        <w:rPr/>
      </w:pPr>
      <w:bookmarkStart w:id="21" w:name="__RefHeading___Toc4576_522697639"/>
      <w:bookmarkEnd w:id="21"/>
      <w:r>
        <w:rPr/>
        <w:t xml:space="preserve">Physical Health Emergencies </w:t>
      </w:r>
    </w:p>
    <w:p>
      <w:pPr>
        <w:pStyle w:val="Heading3"/>
        <w:keepNext w:val="true"/>
        <w:numPr>
          <w:ilvl w:val="2"/>
          <w:numId w:val="2"/>
        </w:numPr>
        <w:bidi w:val="0"/>
        <w:spacing w:before="140" w:after="120"/>
        <w:ind w:hanging="1134" w:start="2268" w:end="0"/>
        <w:jc w:val="start"/>
        <w:outlineLvl w:val="0"/>
        <w:rPr/>
      </w:pPr>
      <w:bookmarkStart w:id="22" w:name="__RefHeading___Toc4578_522697639"/>
      <w:bookmarkEnd w:id="22"/>
      <w:r>
        <w:rPr/>
        <w:t xml:space="preserve">Level I – Monitor: </w:t>
      </w:r>
    </w:p>
    <w:p>
      <w:pPr>
        <w:pStyle w:val="BodyText"/>
        <w:bidi w:val="0"/>
        <w:jc w:val="start"/>
        <w:rPr/>
      </w:pPr>
      <w:r>
        <w:rPr/>
        <w:t xml:space="preserve">The emergency (or perceived emergency) does not currently directly impact students or volunteers, and is perceived to be a contained/isolated situation: </w:t>
      </w:r>
    </w:p>
    <w:p>
      <w:pPr>
        <w:pStyle w:val="BodyText"/>
        <w:numPr>
          <w:ilvl w:val="0"/>
          <w:numId w:val="8"/>
        </w:numPr>
        <w:bidi w:val="0"/>
        <w:jc w:val="start"/>
        <w:rPr/>
      </w:pPr>
      <w:r>
        <w:rPr/>
        <w:t xml:space="preserve">Distribute or communicate information to volunteers, students and their parents, and RI related to how the emergency is impacting/has impacted nearby cities, countries, etc., to create awareness and educate stakeholders on how to protect themselves, and to assure them that the situation is being monitored by your crisis management team. </w:t>
      </w:r>
    </w:p>
    <w:p>
      <w:pPr>
        <w:pStyle w:val="BodyText"/>
        <w:numPr>
          <w:ilvl w:val="0"/>
          <w:numId w:val="8"/>
        </w:numPr>
        <w:bidi w:val="0"/>
        <w:jc w:val="start"/>
        <w:rPr/>
      </w:pPr>
      <w:r>
        <w:rPr/>
        <w:t xml:space="preserve">Continue to monitor developments, including any alerts and updates issued by federal, state and local government agencies for further guidance. </w:t>
      </w:r>
    </w:p>
    <w:p>
      <w:pPr>
        <w:pStyle w:val="BodyText"/>
        <w:numPr>
          <w:ilvl w:val="0"/>
          <w:numId w:val="8"/>
        </w:numPr>
        <w:bidi w:val="0"/>
        <w:jc w:val="start"/>
        <w:rPr/>
      </w:pPr>
      <w:r>
        <w:rPr/>
        <w:t>On any health emergency immediately convene the CMT to develop a further more dertailed plan as required by local law, local health authorities and always in accordance with the directions of Rotary International.</w:t>
      </w:r>
    </w:p>
    <w:p>
      <w:pPr>
        <w:pStyle w:val="Heading3"/>
        <w:keepNext w:val="true"/>
        <w:numPr>
          <w:ilvl w:val="2"/>
          <w:numId w:val="2"/>
        </w:numPr>
        <w:bidi w:val="0"/>
        <w:spacing w:before="140" w:after="120"/>
        <w:ind w:hanging="0" w:start="1134" w:end="0"/>
        <w:jc w:val="start"/>
        <w:outlineLvl w:val="0"/>
        <w:rPr/>
      </w:pPr>
      <w:bookmarkStart w:id="23" w:name="__RefHeading___Toc4580_522697639"/>
      <w:bookmarkEnd w:id="23"/>
      <w:r>
        <w:rPr/>
        <w:t xml:space="preserve">Level II – Plan: </w:t>
      </w:r>
    </w:p>
    <w:p>
      <w:pPr>
        <w:pStyle w:val="BodyText"/>
        <w:bidi w:val="0"/>
        <w:jc w:val="start"/>
        <w:rPr/>
      </w:pPr>
      <w:r>
        <w:rPr/>
        <w:t>The situation does not yet directly impact students or volunteers but has developed or progressed/spread to other areas and is no longer isolated or contained:</w:t>
      </w:r>
    </w:p>
    <w:p>
      <w:pPr>
        <w:pStyle w:val="BodyText"/>
        <w:numPr>
          <w:ilvl w:val="0"/>
          <w:numId w:val="9"/>
        </w:numPr>
        <w:bidi w:val="0"/>
        <w:jc w:val="start"/>
        <w:rPr/>
      </w:pPr>
      <w:r>
        <w:rPr/>
        <w:t xml:space="preserve">Activate crisis team to monitor developments, prepare for and plan for next level of severity </w:t>
      </w:r>
    </w:p>
    <w:p>
      <w:pPr>
        <w:pStyle w:val="BodyText"/>
        <w:numPr>
          <w:ilvl w:val="0"/>
          <w:numId w:val="9"/>
        </w:numPr>
        <w:bidi w:val="0"/>
        <w:jc w:val="start"/>
        <w:rPr/>
      </w:pPr>
      <w:r>
        <w:rPr/>
        <w:t xml:space="preserve">Prepare formal communication to individuals who express concerns about the developments, as well as a proactive, informational communication to all stakeholders (volunteers, students and parents) </w:t>
      </w:r>
    </w:p>
    <w:p>
      <w:pPr>
        <w:pStyle w:val="BodyText"/>
        <w:numPr>
          <w:ilvl w:val="0"/>
          <w:numId w:val="9"/>
        </w:numPr>
        <w:bidi w:val="0"/>
        <w:jc w:val="start"/>
        <w:rPr/>
      </w:pPr>
      <w:r>
        <w:rPr/>
        <w:t xml:space="preserve">Identify the criteria that would require activities, such as in-person gatherings or travel to be postponed or cancelled </w:t>
      </w:r>
    </w:p>
    <w:p>
      <w:pPr>
        <w:pStyle w:val="BodyText"/>
        <w:numPr>
          <w:ilvl w:val="0"/>
          <w:numId w:val="9"/>
        </w:numPr>
        <w:bidi w:val="0"/>
        <w:jc w:val="start"/>
        <w:rPr/>
      </w:pPr>
      <w:r>
        <w:rPr/>
        <w:t xml:space="preserve">Identify the criteria that would require program participants to self-isolate, quarantine, seek medical treatment, or be repatriated </w:t>
      </w:r>
    </w:p>
    <w:p>
      <w:pPr>
        <w:pStyle w:val="BodyText"/>
        <w:numPr>
          <w:ilvl w:val="0"/>
          <w:numId w:val="9"/>
        </w:numPr>
        <w:bidi w:val="0"/>
        <w:jc w:val="start"/>
        <w:rPr/>
      </w:pPr>
      <w:r>
        <w:rPr/>
        <w:t xml:space="preserve">Develop a specific plan based on the criteria identified should the emergency spread to or directly impact your region, including students and volunteers, and communicate this plan to all. The plan should include specific dates that actions will be taken if the situation does not improve or worsens </w:t>
      </w:r>
    </w:p>
    <w:p>
      <w:pPr>
        <w:pStyle w:val="BodyText"/>
        <w:numPr>
          <w:ilvl w:val="0"/>
          <w:numId w:val="9"/>
        </w:numPr>
        <w:bidi w:val="0"/>
        <w:jc w:val="start"/>
        <w:rPr/>
      </w:pPr>
      <w:r>
        <w:rPr/>
        <w:t>C</w:t>
      </w:r>
      <w:r>
        <w:rPr/>
        <w:t>ontact the designated person responsible for insurance-related questions or claims to determine what steps may be required to report to insurance provider(s) and to access any resources the carrier may have available .</w:t>
      </w:r>
    </w:p>
    <w:p>
      <w:pPr>
        <w:pStyle w:val="Heading3"/>
        <w:keepNext w:val="true"/>
        <w:numPr>
          <w:ilvl w:val="2"/>
          <w:numId w:val="2"/>
        </w:numPr>
        <w:bidi w:val="0"/>
        <w:spacing w:before="140" w:after="120"/>
        <w:ind w:hanging="0" w:start="1134" w:end="0"/>
        <w:jc w:val="start"/>
        <w:outlineLvl w:val="0"/>
        <w:rPr/>
      </w:pPr>
      <w:bookmarkStart w:id="24" w:name="__RefHeading___Toc4582_522697639"/>
      <w:bookmarkEnd w:id="24"/>
      <w:r>
        <w:rPr>
          <w:color w:val="2A6099"/>
        </w:rPr>
        <w:t>L</w:t>
      </w:r>
      <w:r>
        <w:rPr>
          <w:color w:val="2A6099"/>
        </w:rPr>
        <w:t>evel III – Act:</w:t>
      </w:r>
      <w:r>
        <w:rPr/>
        <w:t xml:space="preserve"> </w:t>
      </w:r>
    </w:p>
    <w:p>
      <w:pPr>
        <w:pStyle w:val="BodyText"/>
        <w:bidi w:val="0"/>
        <w:jc w:val="start"/>
        <w:rPr/>
      </w:pPr>
      <w:r>
        <w:rPr/>
        <w:t xml:space="preserve">The emergency directly affects your district/region, students and volunteers: </w:t>
      </w:r>
    </w:p>
    <w:p>
      <w:pPr>
        <w:pStyle w:val="BodyText"/>
        <w:numPr>
          <w:ilvl w:val="0"/>
          <w:numId w:val="10"/>
        </w:numPr>
        <w:bidi w:val="0"/>
        <w:jc w:val="start"/>
        <w:rPr/>
      </w:pPr>
      <w:r>
        <w:rPr/>
        <w:t xml:space="preserve">Implement actions steps identify in Level II to prevent risk to students or volunteers (e.g. cancelling activities, events, or travel) </w:t>
      </w:r>
    </w:p>
    <w:p>
      <w:pPr>
        <w:pStyle w:val="BodyText"/>
        <w:numPr>
          <w:ilvl w:val="0"/>
          <w:numId w:val="10"/>
        </w:numPr>
        <w:bidi w:val="0"/>
        <w:jc w:val="start"/>
        <w:rPr/>
      </w:pPr>
      <w:r>
        <w:rPr/>
        <w:t xml:space="preserve">Communicate emergency and contingency procedures to students, volunteers and parents </w:t>
      </w:r>
    </w:p>
    <w:p>
      <w:pPr>
        <w:pStyle w:val="BodyText"/>
        <w:numPr>
          <w:ilvl w:val="0"/>
          <w:numId w:val="10"/>
        </w:numPr>
        <w:bidi w:val="0"/>
        <w:jc w:val="start"/>
        <w:rPr/>
      </w:pPr>
      <w:r>
        <w:rPr/>
        <w:t xml:space="preserve">Communicate emergency and contingency procedures to all relevant local, national, or international government or health agencies as necessary to coordinate repatriation or safe travel </w:t>
      </w:r>
    </w:p>
    <w:p>
      <w:pPr>
        <w:pStyle w:val="BodyText"/>
        <w:numPr>
          <w:ilvl w:val="0"/>
          <w:numId w:val="10"/>
        </w:numPr>
        <w:bidi w:val="0"/>
        <w:jc w:val="start"/>
        <w:rPr/>
      </w:pPr>
      <w:r>
        <w:rPr/>
        <w:t xml:space="preserve">Contact the designated person responsible for insurance-related questions or claims to determine what steps may be required to report to insurance provider(s) and to access any resources the carrier may have available </w:t>
      </w:r>
    </w:p>
    <w:p>
      <w:pPr>
        <w:pStyle w:val="BodyText"/>
        <w:numPr>
          <w:ilvl w:val="0"/>
          <w:numId w:val="10"/>
        </w:numPr>
        <w:bidi w:val="0"/>
        <w:jc w:val="start"/>
        <w:rPr/>
      </w:pPr>
      <w:r>
        <w:rPr/>
        <w:t xml:space="preserve">Issue refunds or notice of cancellation for all pre-paid or registered events, trips, or other program-related costs </w:t>
      </w:r>
    </w:p>
    <w:p>
      <w:pPr>
        <w:pStyle w:val="BodyText"/>
        <w:numPr>
          <w:ilvl w:val="0"/>
          <w:numId w:val="10"/>
        </w:numPr>
        <w:bidi w:val="0"/>
        <w:jc w:val="start"/>
        <w:rPr/>
      </w:pPr>
      <w:r>
        <w:rPr/>
        <w:t xml:space="preserve">Notify RI within 72 hours of any emergency medical treatment, hospitalization, or repatriation of program participants related to a heal emergency </w:t>
      </w:r>
    </w:p>
    <w:p>
      <w:pPr>
        <w:pStyle w:val="BodyText"/>
        <w:numPr>
          <w:ilvl w:val="0"/>
          <w:numId w:val="10"/>
        </w:numPr>
        <w:bidi w:val="0"/>
        <w:jc w:val="start"/>
        <w:rPr/>
      </w:pPr>
      <w:r>
        <w:rPr/>
        <w:t xml:space="preserve">Continue to monitor and adapt procedures as situation develops </w:t>
      </w:r>
    </w:p>
    <w:p>
      <w:pPr>
        <w:pStyle w:val="BodyText"/>
        <w:bidi w:val="0"/>
        <w:spacing w:lineRule="auto" w:line="276" w:before="0" w:after="140"/>
        <w:jc w:val="start"/>
        <w:rPr/>
      </w:pPr>
      <w:r>
        <w:rPr/>
      </w:r>
      <w:r>
        <w:br w:type="page"/>
      </w:r>
    </w:p>
    <w:p>
      <w:pPr>
        <w:pStyle w:val="Heading2"/>
        <w:numPr>
          <w:ilvl w:val="1"/>
          <w:numId w:val="2"/>
        </w:numPr>
        <w:bidi w:val="0"/>
        <w:jc w:val="start"/>
        <w:outlineLvl w:val="0"/>
        <w:rPr/>
      </w:pPr>
      <w:bookmarkStart w:id="25" w:name="__RefHeading___Toc4576_522697639_Copy_2"/>
      <w:bookmarkEnd w:id="25"/>
      <w:r>
        <w:rPr/>
        <w:t>Mental</w:t>
      </w:r>
      <w:r>
        <w:rPr/>
        <w:t xml:space="preserve"> Health Emergencies </w:t>
      </w:r>
      <w:r>
        <w:rPr>
          <w:rStyle w:val="FootnoteReference"/>
        </w:rPr>
        <w:footnoteReference w:id="4"/>
      </w:r>
    </w:p>
    <w:p>
      <w:pPr>
        <w:pStyle w:val="BodyText"/>
        <w:bidi w:val="0"/>
        <w:jc w:val="start"/>
        <w:rPr>
          <w:i/>
          <w:color w:val="808080"/>
        </w:rPr>
      </w:pPr>
      <w:r>
        <w:rPr>
          <w:i/>
          <w:color w:val="808080"/>
        </w:rPr>
        <w:t xml:space="preserve">Mental health emergencies may include (but are not limited to) disorderly or psychotic behaviour, severe depression or withdrawal, drug or alcohol abuse, ideation, suicidal or homicidal threats or attempts, and self-harm. </w:t>
      </w:r>
    </w:p>
    <w:p>
      <w:pPr>
        <w:pStyle w:val="BodyText"/>
        <w:bidi w:val="0"/>
        <w:jc w:val="start"/>
        <w:rPr>
          <w:i/>
          <w:color w:val="808080"/>
        </w:rPr>
      </w:pPr>
      <w:r>
        <w:rPr>
          <w:i/>
          <w:color w:val="808080"/>
        </w:rPr>
        <w:t xml:space="preserve">Volunteers should never intervene in medical or mental health situations unless they have been trained </w:t>
      </w:r>
      <w:r>
        <w:rPr>
          <w:i/>
          <w:color w:val="808080"/>
        </w:rPr>
        <w:t xml:space="preserve">and are qualified </w:t>
      </w:r>
      <w:r>
        <w:rPr>
          <w:i/>
          <w:color w:val="808080"/>
        </w:rPr>
        <w:t>to do so.</w:t>
      </w:r>
    </w:p>
    <w:p>
      <w:pPr>
        <w:pStyle w:val="BodyText"/>
        <w:bidi w:val="0"/>
        <w:jc w:val="start"/>
        <w:rPr>
          <w:i/>
          <w:color w:val="808080"/>
        </w:rPr>
      </w:pPr>
      <w:r>
        <w:rPr>
          <w:i/>
          <w:color w:val="808080"/>
        </w:rPr>
        <w:t>Instead, they should utilize the expertise of local resources and professionals.</w:t>
      </w:r>
    </w:p>
    <w:p>
      <w:pPr>
        <w:pStyle w:val="BodyText"/>
        <w:bidi w:val="0"/>
        <w:jc w:val="start"/>
        <w:rPr>
          <w:i/>
          <w:color w:val="808080"/>
        </w:rPr>
      </w:pPr>
      <w:r>
        <w:rPr>
          <w:i/>
          <w:color w:val="808080"/>
        </w:rPr>
        <w:t xml:space="preserve">The ROZ Youth Programmes Co-ordinator can provide access to the </w:t>
      </w:r>
      <w:r>
        <w:rPr>
          <w:i/>
          <w:color w:val="808080"/>
        </w:rPr>
        <w:t>Doctors and Psychologists, who will carry out the first assistance to the youth. If necessary, other referrals such as hospitalization of the young person, the referrals to be adopted are the same as for physical health emergencies.</w:t>
      </w:r>
    </w:p>
    <w:p>
      <w:pPr>
        <w:pStyle w:val="Heading2"/>
        <w:numPr>
          <w:ilvl w:val="1"/>
          <w:numId w:val="2"/>
        </w:numPr>
        <w:bidi w:val="0"/>
        <w:jc w:val="start"/>
        <w:outlineLvl w:val="0"/>
        <w:rPr/>
      </w:pPr>
      <w:bookmarkStart w:id="26" w:name="__RefHeading___Toc4576_522697639_Copy_2_"/>
      <w:bookmarkEnd w:id="26"/>
      <w:r>
        <w:rPr/>
        <w:t xml:space="preserve">Abuse, Harassment or other </w:t>
      </w:r>
      <w:r>
        <w:rPr/>
        <w:t>traumatic events</w:t>
      </w:r>
      <w:r>
        <w:rPr/>
        <w:t xml:space="preserve"> </w:t>
      </w:r>
      <w:r>
        <w:rPr>
          <w:rStyle w:val="FootnoteReference"/>
        </w:rPr>
        <w:footnoteReference w:id="5"/>
      </w:r>
    </w:p>
    <w:p>
      <w:pPr>
        <w:pStyle w:val="BodyText"/>
        <w:bidi w:val="0"/>
        <w:spacing w:lineRule="auto" w:line="276" w:before="0" w:after="140"/>
        <w:jc w:val="start"/>
        <w:rPr/>
      </w:pPr>
      <w:bookmarkStart w:id="27" w:name="__RefHeading___Toc27421_39190500"/>
      <w:bookmarkEnd w:id="27"/>
      <w:r>
        <w:rPr/>
        <w:t>The primary resources are the processes under the Rotary International Youth Protection policy and its associated documents and learnings through the Learning Centre.</w:t>
      </w:r>
    </w:p>
    <w:p>
      <w:pPr>
        <w:pStyle w:val="BodyText"/>
        <w:bidi w:val="0"/>
        <w:spacing w:lineRule="auto" w:line="276" w:before="0" w:after="140"/>
        <w:jc w:val="start"/>
        <w:rPr/>
      </w:pPr>
      <w:bookmarkStart w:id="28" w:name="__RefHeading___Toc27423_39190500"/>
      <w:bookmarkEnd w:id="28"/>
      <w:r>
        <w:rPr/>
        <w:t xml:space="preserve">Youth in New Zealand have government sponsored, trained, vetted resources in all agencies involved with youth and resources such as </w:t>
      </w:r>
      <w:hyperlink r:id="rId3">
        <w:r>
          <w:rPr>
            <w:rStyle w:val="Hyperlink"/>
          </w:rPr>
          <w:t>SafeToTalk</w:t>
        </w:r>
        <w:r>
          <w:rPr>
            <w:rStyle w:val="FootnoteReference"/>
          </w:rPr>
          <w:footnoteReference w:id="6"/>
        </w:r>
      </w:hyperlink>
      <w:r>
        <w:rPr/>
        <w:t xml:space="preserve"> </w:t>
      </w:r>
      <w:r>
        <w:rPr/>
        <w:t>and those other agencies set out n Appendix 3.</w:t>
      </w:r>
    </w:p>
    <w:p>
      <w:pPr>
        <w:pStyle w:val="BodyText"/>
        <w:bidi w:val="0"/>
        <w:spacing w:lineRule="auto" w:line="276" w:before="0" w:after="140"/>
        <w:jc w:val="start"/>
        <w:rPr/>
      </w:pPr>
      <w:bookmarkStart w:id="29" w:name="__RefHeading___Toc27425_39190500"/>
      <w:bookmarkEnd w:id="29"/>
      <w:r>
        <w:rPr/>
        <w:t>Key issues that are causes of stress or trauma should be directed by the youth programme participant to their Counsellor or in the case of a short-term programme, the programme counsellor.</w:t>
      </w:r>
    </w:p>
    <w:p>
      <w:pPr>
        <w:pStyle w:val="BodyText"/>
        <w:bidi w:val="0"/>
        <w:spacing w:lineRule="auto" w:line="276" w:before="0" w:after="140"/>
        <w:jc w:val="start"/>
        <w:rPr/>
      </w:pPr>
      <w:bookmarkStart w:id="30" w:name="__RefHeading___Toc27427_39190500"/>
      <w:bookmarkEnd w:id="30"/>
      <w:r>
        <w:rPr/>
        <w:t>Examples are:</w:t>
      </w:r>
    </w:p>
    <w:p>
      <w:pPr>
        <w:pStyle w:val="BodyText"/>
        <w:numPr>
          <w:ilvl w:val="0"/>
          <w:numId w:val="11"/>
        </w:numPr>
        <w:bidi w:val="0"/>
        <w:jc w:val="start"/>
        <w:rPr/>
      </w:pPr>
      <w:bookmarkStart w:id="31" w:name="__RefHeading___Toc27429_39190500"/>
      <w:bookmarkEnd w:id="31"/>
      <w:r>
        <w:rPr>
          <w:lang w:val="en-GB"/>
        </w:rPr>
        <w:t>F</w:t>
      </w:r>
      <w:r>
        <w:rPr/>
        <w:t>inancial difficulties</w:t>
      </w:r>
    </w:p>
    <w:p>
      <w:pPr>
        <w:pStyle w:val="BodyText"/>
        <w:numPr>
          <w:ilvl w:val="0"/>
          <w:numId w:val="11"/>
        </w:numPr>
        <w:bidi w:val="0"/>
        <w:jc w:val="start"/>
        <w:rPr/>
      </w:pPr>
      <w:bookmarkStart w:id="32" w:name="__RefHeading___Toc27431_39190500"/>
      <w:bookmarkEnd w:id="32"/>
      <w:r>
        <w:rPr/>
        <w:t>Loss of personal property</w:t>
      </w:r>
    </w:p>
    <w:p>
      <w:pPr>
        <w:pStyle w:val="BodyText"/>
        <w:numPr>
          <w:ilvl w:val="0"/>
          <w:numId w:val="11"/>
        </w:numPr>
        <w:bidi w:val="0"/>
        <w:jc w:val="start"/>
        <w:rPr/>
      </w:pPr>
      <w:bookmarkStart w:id="33" w:name="__RefHeading___Toc27433_39190500"/>
      <w:bookmarkEnd w:id="33"/>
      <w:r>
        <w:rPr/>
        <w:t>Loss of identity or identity and/or travel documents</w:t>
      </w:r>
    </w:p>
    <w:p>
      <w:pPr>
        <w:pStyle w:val="BodyText"/>
        <w:numPr>
          <w:ilvl w:val="0"/>
          <w:numId w:val="11"/>
        </w:numPr>
        <w:bidi w:val="0"/>
        <w:jc w:val="start"/>
        <w:rPr/>
      </w:pPr>
      <w:bookmarkStart w:id="34" w:name="__RefHeading___Toc27435_39190500"/>
      <w:bookmarkEnd w:id="34"/>
      <w:r>
        <w:rPr/>
        <w:t>Confusion as to duties and instructions</w:t>
      </w:r>
    </w:p>
    <w:p>
      <w:pPr>
        <w:pStyle w:val="BodyText"/>
        <w:numPr>
          <w:ilvl w:val="0"/>
          <w:numId w:val="11"/>
        </w:numPr>
        <w:bidi w:val="0"/>
        <w:jc w:val="start"/>
        <w:rPr/>
      </w:pPr>
      <w:bookmarkStart w:id="35" w:name="__RefHeading___Toc27437_39190500"/>
      <w:bookmarkEnd w:id="35"/>
      <w:r>
        <w:rPr/>
        <w:t xml:space="preserve">Other issues which while not affecting the mental health of the youth programme participant but which are a cause of worry or anxiety such as academic, sporting or </w:t>
      </w:r>
      <w:r>
        <w:rPr>
          <w:color w:val="000000"/>
        </w:rPr>
        <w:t>socialisation</w:t>
      </w:r>
      <w:r>
        <w:rPr/>
        <w:t xml:space="preserve"> concerns.</w:t>
      </w:r>
    </w:p>
    <w:p>
      <w:pPr>
        <w:pStyle w:val="Heading2"/>
        <w:numPr>
          <w:ilvl w:val="1"/>
          <w:numId w:val="2"/>
        </w:numPr>
        <w:bidi w:val="0"/>
        <w:jc w:val="start"/>
        <w:outlineLvl w:val="0"/>
        <w:rPr/>
      </w:pPr>
      <w:bookmarkStart w:id="36" w:name="__RefHeading___Toc4576_522697639_Copy_21"/>
      <w:bookmarkEnd w:id="36"/>
      <w:r>
        <w:rPr/>
        <w:t>Tragedy</w:t>
      </w:r>
      <w:r>
        <w:rPr>
          <w:rStyle w:val="FootnoteReference"/>
        </w:rPr>
        <w:footnoteReference w:id="7"/>
      </w:r>
    </w:p>
    <w:p>
      <w:pPr>
        <w:pStyle w:val="BodyText"/>
        <w:numPr>
          <w:ilvl w:val="0"/>
          <w:numId w:val="0"/>
        </w:numPr>
        <w:bidi w:val="0"/>
        <w:jc w:val="start"/>
        <w:outlineLvl w:val="0"/>
        <w:rPr/>
      </w:pPr>
      <w:r>
        <w:rPr/>
      </w:r>
    </w:p>
    <w:p>
      <w:pPr>
        <w:pStyle w:val="BodyText"/>
        <w:bidi w:val="0"/>
        <w:spacing w:lineRule="auto" w:line="276" w:before="0" w:after="140"/>
        <w:jc w:val="start"/>
        <w:rPr/>
      </w:pPr>
      <w:bookmarkStart w:id="37" w:name="__RefHeading___Toc27439_39190500"/>
      <w:bookmarkEnd w:id="37"/>
      <w:r>
        <w:rPr/>
        <w:t xml:space="preserve">If the life of any youth programme participant is affected by a tragedy, such as the youth </w:t>
      </w:r>
      <w:r>
        <w:rPr>
          <w:lang w:val="en-GB"/>
        </w:rPr>
        <w:t>participant</w:t>
      </w:r>
      <w:r>
        <w:rPr/>
        <w:t xml:space="preserve"> being unable to continue the programme (for whatever reason), going missing or, suffering a mortal event the CMT should convene, </w:t>
      </w:r>
      <w:r>
        <w:rPr>
          <w:lang w:val="en-GB"/>
        </w:rPr>
        <w:t>identify</w:t>
      </w:r>
      <w:r>
        <w:rPr/>
        <w:t xml:space="preserve"> the affected parties and develop a plan for the </w:t>
      </w:r>
      <w:r>
        <w:rPr>
          <w:lang w:val="en-GB"/>
        </w:rPr>
        <w:t>specific</w:t>
      </w:r>
      <w:r>
        <w:rPr/>
        <w:t xml:space="preserve"> tragedy.</w:t>
      </w:r>
    </w:p>
    <w:p>
      <w:pPr>
        <w:pStyle w:val="Heading1"/>
        <w:numPr>
          <w:ilvl w:val="0"/>
          <w:numId w:val="2"/>
        </w:numPr>
        <w:bidi w:val="0"/>
        <w:jc w:val="start"/>
        <w:rPr/>
      </w:pPr>
      <w:bookmarkStart w:id="38" w:name="__RefHeading___Toc2117_522697639"/>
      <w:bookmarkEnd w:id="38"/>
      <w:r>
        <w:rPr/>
        <w:t xml:space="preserve">CRISIS RESOLUTION </w:t>
      </w:r>
    </w:p>
    <w:p>
      <w:pPr>
        <w:pStyle w:val="Heading2"/>
        <w:numPr>
          <w:ilvl w:val="1"/>
          <w:numId w:val="2"/>
        </w:numPr>
        <w:bidi w:val="0"/>
        <w:ind w:hanging="1134" w:start="1134"/>
        <w:jc w:val="start"/>
        <w:outlineLvl w:val="0"/>
        <w:rPr/>
      </w:pPr>
      <w:bookmarkStart w:id="39" w:name="__RefHeading___Toc2119_522697639"/>
      <w:bookmarkEnd w:id="39"/>
      <w:r>
        <w:rPr/>
        <w:t xml:space="preserve">De-escalating </w:t>
      </w:r>
      <w:r>
        <w:rPr/>
        <w:t>a</w:t>
      </w:r>
      <w:r>
        <w:rPr/>
        <w:t xml:space="preserve">nd Declaring a Crisis Resolved: </w:t>
      </w:r>
    </w:p>
    <w:p>
      <w:pPr>
        <w:pStyle w:val="BodyText"/>
        <w:bidi w:val="0"/>
        <w:spacing w:lineRule="auto" w:line="276" w:before="0" w:after="140"/>
        <w:jc w:val="start"/>
        <w:rPr/>
      </w:pPr>
      <w:r>
        <w:rPr/>
        <w:t xml:space="preserve">The District Governor shall be responsible for de-escalating a crisis (moving a crisis from </w:t>
      </w:r>
    </w:p>
    <w:p>
      <w:pPr>
        <w:pStyle w:val="BodyText"/>
        <w:bidi w:val="0"/>
        <w:spacing w:lineRule="auto" w:line="276" w:before="0" w:after="140"/>
        <w:jc w:val="start"/>
        <w:rPr/>
      </w:pPr>
      <w:r>
        <w:rPr/>
        <w:t xml:space="preserve">a higher level to a lower level) and declaring a crisis resolved according to the following: </w:t>
      </w:r>
    </w:p>
    <w:p>
      <w:pPr>
        <w:pStyle w:val="Heading3"/>
        <w:keepNext w:val="true"/>
        <w:numPr>
          <w:ilvl w:val="2"/>
          <w:numId w:val="2"/>
        </w:numPr>
        <w:bidi w:val="0"/>
        <w:spacing w:before="140" w:after="120"/>
        <w:ind w:hanging="0" w:start="1134" w:end="0"/>
        <w:jc w:val="start"/>
        <w:outlineLvl w:val="0"/>
        <w:rPr/>
      </w:pPr>
      <w:bookmarkStart w:id="40" w:name="__RefHeading___Toc4584_522697639"/>
      <w:bookmarkEnd w:id="40"/>
      <w:r>
        <w:rPr/>
        <w:t>De-escalating a crisis:</w:t>
      </w:r>
    </w:p>
    <w:p>
      <w:pPr>
        <w:pStyle w:val="BodyText"/>
        <w:bidi w:val="0"/>
        <w:jc w:val="start"/>
        <w:rPr/>
      </w:pPr>
      <w:r>
        <w:rPr/>
        <w:t>A</w:t>
      </w:r>
      <w:r>
        <w:rPr/>
        <w:t xml:space="preserve"> crisis level will be moved from a higher level to a lower level, </w:t>
      </w:r>
    </w:p>
    <w:p>
      <w:pPr>
        <w:pStyle w:val="BodyText"/>
        <w:bidi w:val="0"/>
        <w:spacing w:lineRule="auto" w:line="276" w:before="0" w:after="140"/>
        <w:jc w:val="start"/>
        <w:rPr/>
      </w:pPr>
      <w:r>
        <w:rPr/>
        <w:t xml:space="preserve">when appropriate, when the all steps in the response protocols have been followed, but there is still a need to maintain a level of crisis awareness or response, and that response is more appropriate to the protocols described by a lower level. The District Governor will communicate with the Core CMT in the event of a de-escalation of a crisis and activate the notification protocols as necessary. </w:t>
      </w:r>
    </w:p>
    <w:p>
      <w:pPr>
        <w:pStyle w:val="Heading3"/>
        <w:keepNext w:val="true"/>
        <w:numPr>
          <w:ilvl w:val="2"/>
          <w:numId w:val="2"/>
        </w:numPr>
        <w:bidi w:val="0"/>
        <w:spacing w:before="140" w:after="120"/>
        <w:ind w:hanging="0" w:start="1134" w:end="0"/>
        <w:jc w:val="start"/>
        <w:outlineLvl w:val="0"/>
        <w:rPr/>
      </w:pPr>
      <w:bookmarkStart w:id="41" w:name="__RefHeading___Toc4586_522697639"/>
      <w:bookmarkEnd w:id="41"/>
      <w:r>
        <w:rPr/>
        <w:t xml:space="preserve">Declaring a crisis resolved: </w:t>
      </w:r>
    </w:p>
    <w:p>
      <w:pPr>
        <w:pStyle w:val="BodyText"/>
        <w:bidi w:val="0"/>
        <w:jc w:val="start"/>
        <w:rPr/>
      </w:pPr>
      <w:r>
        <w:rPr/>
        <w:t>A</w:t>
      </w:r>
      <w:r>
        <w:rPr/>
        <w:t xml:space="preserve"> crisis will be deemed resolved when the all steps in the response protocols have been followed, there is no immediate risk to young people and volunteers, and there is no need to maintain a level of crisis awareness or response. The District Governor will communicate with the Core CMT in the event of a resolution of a crisis and activate the notification protocols as necessary. </w:t>
      </w:r>
    </w:p>
    <w:p>
      <w:pPr>
        <w:pStyle w:val="BodyText"/>
        <w:bidi w:val="0"/>
        <w:jc w:val="start"/>
        <w:rPr>
          <w:i/>
          <w:color w:val="808080"/>
        </w:rPr>
      </w:pPr>
      <w:r>
        <w:rPr>
          <w:i/>
          <w:color w:val="808080"/>
        </w:rPr>
        <w:t xml:space="preserve">Note: Outline additional criteria for de-escalating or resolving a crisis and response protocols for each as according to your local circumstances. </w:t>
      </w:r>
    </w:p>
    <w:p>
      <w:pPr>
        <w:pStyle w:val="Heading2"/>
        <w:numPr>
          <w:ilvl w:val="1"/>
          <w:numId w:val="2"/>
        </w:numPr>
        <w:bidi w:val="0"/>
        <w:ind w:hanging="1134" w:start="1134"/>
        <w:jc w:val="start"/>
        <w:outlineLvl w:val="0"/>
        <w:rPr/>
      </w:pPr>
      <w:bookmarkStart w:id="42" w:name="__RefHeading___Toc2121_522697639"/>
      <w:bookmarkEnd w:id="42"/>
      <w:r>
        <w:rPr/>
        <w:t xml:space="preserve">Debriefing: </w:t>
      </w:r>
    </w:p>
    <w:p>
      <w:pPr>
        <w:pStyle w:val="BodyText"/>
        <w:bidi w:val="0"/>
        <w:spacing w:lineRule="auto" w:line="276" w:before="0" w:after="140"/>
        <w:jc w:val="start"/>
        <w:rPr/>
      </w:pPr>
      <w:r>
        <w:rPr/>
        <w:t xml:space="preserve">Immediately following a resolved crisis, a crisis simulation, or a narrowly avoided crisis, the Core CMT shall conduct a debriefing. Members of the Additional CMT may also be included, as necessary. The purpose of the debriefing is to ensure the response protocols were followed, if there are any action steps needed as a result of a crisis resolution, including, but not limited to, making updates to the crisis management plan and conducting emergency trainings. </w:t>
      </w:r>
    </w:p>
    <w:p>
      <w:pPr>
        <w:pStyle w:val="BodyText"/>
        <w:bidi w:val="0"/>
        <w:spacing w:lineRule="auto" w:line="276" w:before="0" w:after="140"/>
        <w:jc w:val="start"/>
        <w:rPr/>
      </w:pPr>
      <w:r>
        <w:rPr/>
        <w:t xml:space="preserve">A copy of the debriefing questionnaire (Appendix B) shall be included with any formal records and the district governor shall be responsible for ensuring that any actions recommended as a result of the debriefing are implemented. </w:t>
      </w:r>
    </w:p>
    <w:p>
      <w:pPr>
        <w:pStyle w:val="BodyText"/>
        <w:bidi w:val="0"/>
        <w:jc w:val="start"/>
        <w:rPr>
          <w:i/>
          <w:color w:val="808080"/>
        </w:rPr>
      </w:pPr>
      <w:r>
        <w:rPr>
          <w:i/>
          <w:color w:val="808080"/>
        </w:rPr>
        <w:t xml:space="preserve">Note: Debriefings can be formal or informal, but should always include a thorough and </w:t>
      </w:r>
    </w:p>
    <w:p>
      <w:pPr>
        <w:pStyle w:val="BodyText"/>
        <w:bidi w:val="0"/>
        <w:jc w:val="start"/>
        <w:rPr>
          <w:i/>
          <w:color w:val="808080"/>
        </w:rPr>
      </w:pPr>
      <w:r>
        <w:rPr>
          <w:i/>
          <w:color w:val="808080"/>
        </w:rPr>
        <w:t xml:space="preserve">honest assessment of the crisis response so that improvements can be made. </w:t>
      </w:r>
    </w:p>
    <w:p>
      <w:pPr>
        <w:pStyle w:val="Heading2"/>
        <w:numPr>
          <w:ilvl w:val="1"/>
          <w:numId w:val="2"/>
        </w:numPr>
        <w:bidi w:val="0"/>
        <w:ind w:hanging="1134" w:start="1134"/>
        <w:jc w:val="start"/>
        <w:outlineLvl w:val="0"/>
        <w:rPr/>
      </w:pPr>
      <w:bookmarkStart w:id="43" w:name="__RefHeading___Toc4588_522697639"/>
      <w:bookmarkEnd w:id="43"/>
      <w:r>
        <w:rPr/>
        <w:t>Updating the C</w:t>
      </w:r>
      <w:r>
        <w:rPr>
          <w:rFonts w:eastAsia="Noto Serif CJK SC" w:cs="FreeSans"/>
          <w:b/>
          <w:bCs w:val="false"/>
          <w:color w:val="2A6099"/>
          <w:spacing w:val="60"/>
          <w:sz w:val="28"/>
          <w:szCs w:val="55"/>
          <w:lang w:val="en-GB"/>
        </w:rPr>
        <w:t xml:space="preserve">MP &amp; </w:t>
      </w:r>
      <w:r>
        <w:rPr/>
        <w:t xml:space="preserve">Emergency Training: </w:t>
      </w:r>
    </w:p>
    <w:p>
      <w:pPr>
        <w:pStyle w:val="Heading3"/>
        <w:keepNext w:val="true"/>
        <w:numPr>
          <w:ilvl w:val="2"/>
          <w:numId w:val="2"/>
        </w:numPr>
        <w:bidi w:val="0"/>
        <w:spacing w:before="140" w:after="120"/>
        <w:ind w:hanging="0" w:start="1134" w:end="0"/>
        <w:jc w:val="start"/>
        <w:outlineLvl w:val="0"/>
        <w:rPr/>
      </w:pPr>
      <w:bookmarkStart w:id="44" w:name="__RefHeading___Toc4590_522697639"/>
      <w:bookmarkEnd w:id="44"/>
      <w:r>
        <w:rPr/>
        <w:t>Review of the CMP – Crisis Management Plan</w:t>
      </w:r>
    </w:p>
    <w:p>
      <w:pPr>
        <w:pStyle w:val="BodyText"/>
        <w:bidi w:val="0"/>
        <w:jc w:val="start"/>
        <w:rPr/>
      </w:pPr>
      <w:r>
        <w:rPr/>
        <w:t xml:space="preserve">It is important to review the crisis management plan regularly. </w:t>
      </w:r>
    </w:p>
    <w:p>
      <w:pPr>
        <w:pStyle w:val="BodyText"/>
        <w:bidi w:val="0"/>
        <w:jc w:val="start"/>
        <w:rPr/>
      </w:pPr>
      <w:r>
        <w:rPr/>
        <w:t>Th</w:t>
      </w:r>
      <w:r>
        <w:rPr/>
        <w:t>is</w:t>
      </w:r>
      <w:r>
        <w:rPr/>
        <w:t xml:space="preserve"> plan shall be updated as follows: </w:t>
      </w:r>
    </w:p>
    <w:p>
      <w:pPr>
        <w:pStyle w:val="BodyText"/>
        <w:numPr>
          <w:ilvl w:val="0"/>
          <w:numId w:val="12"/>
        </w:numPr>
        <w:bidi w:val="0"/>
        <w:jc w:val="start"/>
        <w:rPr/>
      </w:pPr>
      <w:r>
        <w:rPr/>
        <w:t xml:space="preserve">Annually prior to the start of the new Rotary year </w:t>
      </w:r>
      <w:r>
        <w:rPr/>
        <w:t xml:space="preserve">at the first meeting of the District Board in </w:t>
      </w:r>
      <w:r>
        <w:rPr>
          <w:color w:val="000000"/>
          <w:lang w:val="en-GB"/>
        </w:rPr>
        <w:t>July of each year.</w:t>
      </w:r>
    </w:p>
    <w:p>
      <w:pPr>
        <w:pStyle w:val="BodyText"/>
        <w:numPr>
          <w:ilvl w:val="0"/>
          <w:numId w:val="12"/>
        </w:numPr>
        <w:bidi w:val="0"/>
        <w:jc w:val="start"/>
        <w:rPr/>
      </w:pPr>
      <w:r>
        <w:rPr/>
        <w:t xml:space="preserve">Following any changes to leadership or other youth protection policies. </w:t>
      </w:r>
    </w:p>
    <w:p>
      <w:pPr>
        <w:pStyle w:val="BodyText"/>
        <w:numPr>
          <w:ilvl w:val="0"/>
          <w:numId w:val="12"/>
        </w:numPr>
        <w:bidi w:val="0"/>
        <w:jc w:val="start"/>
        <w:rPr/>
      </w:pPr>
      <w:r>
        <w:rPr/>
        <w:t xml:space="preserve">As a result of recommendations from a debriefing following a resolved crisis, a crisis simulation, or a narrowly avoided crisis. </w:t>
      </w:r>
    </w:p>
    <w:p>
      <w:pPr>
        <w:pStyle w:val="Heading3"/>
        <w:keepNext w:val="true"/>
        <w:numPr>
          <w:ilvl w:val="2"/>
          <w:numId w:val="2"/>
        </w:numPr>
        <w:bidi w:val="0"/>
        <w:spacing w:before="140" w:after="120"/>
        <w:ind w:hanging="0" w:start="1134" w:end="0"/>
        <w:jc w:val="start"/>
        <w:outlineLvl w:val="0"/>
        <w:rPr/>
      </w:pPr>
      <w:bookmarkStart w:id="45" w:name="__RefHeading___Toc4592_522697639"/>
      <w:bookmarkEnd w:id="45"/>
      <w:r>
        <w:rPr/>
        <w:t>Emergency (unscheduled) trainings</w:t>
      </w:r>
    </w:p>
    <w:p>
      <w:pPr>
        <w:pStyle w:val="BodyText"/>
        <w:bidi w:val="0"/>
        <w:jc w:val="start"/>
        <w:rPr/>
      </w:pPr>
      <w:r>
        <w:rPr/>
        <w:t xml:space="preserve">Emergency (unscheduled) trainings shall be conducted as follows: </w:t>
      </w:r>
    </w:p>
    <w:p>
      <w:pPr>
        <w:pStyle w:val="BodyText"/>
        <w:numPr>
          <w:ilvl w:val="0"/>
          <w:numId w:val="13"/>
        </w:numPr>
        <w:bidi w:val="0"/>
        <w:jc w:val="start"/>
        <w:rPr/>
      </w:pPr>
      <w:r>
        <w:rPr/>
        <w:t xml:space="preserve">Immediately following a resolved crisis when the results of a debriefing reveal a need to do so. </w:t>
      </w:r>
    </w:p>
    <w:p>
      <w:pPr>
        <w:pStyle w:val="BodyText"/>
        <w:numPr>
          <w:ilvl w:val="0"/>
          <w:numId w:val="13"/>
        </w:numPr>
        <w:bidi w:val="0"/>
        <w:jc w:val="start"/>
        <w:rPr/>
      </w:pPr>
      <w:r>
        <w:rPr/>
        <w:t xml:space="preserve">If a crisis or emergency that involves young people is narrowly avoided, especially when the results of a debriefing reveal that youth protection policies or response protocols were not followed. </w:t>
      </w:r>
    </w:p>
    <w:p>
      <w:pPr>
        <w:pStyle w:val="BodyText"/>
        <w:bidi w:val="0"/>
        <w:jc w:val="start"/>
        <w:rPr>
          <w:i/>
          <w:color w:val="808080"/>
        </w:rPr>
      </w:pPr>
      <w:r>
        <w:rPr>
          <w:i/>
          <w:color w:val="808080"/>
        </w:rPr>
        <w:t xml:space="preserve">Note: These may not be the only circumstances that warrant an update to your crisis management plan or that may require additional training. Outline additional requirements according to your local circumstances. </w:t>
      </w:r>
    </w:p>
    <w:p>
      <w:pPr>
        <w:pStyle w:val="Heading1"/>
        <w:numPr>
          <w:ilvl w:val="0"/>
          <w:numId w:val="2"/>
        </w:numPr>
        <w:bidi w:val="0"/>
        <w:jc w:val="start"/>
        <w:rPr/>
      </w:pPr>
      <w:bookmarkStart w:id="46" w:name="__RefHeading___Toc2123_522697639"/>
      <w:bookmarkEnd w:id="46"/>
      <w:r>
        <w:rPr/>
        <w:t>OTHER IMPOR</w:t>
      </w:r>
      <w:r>
        <w:rPr/>
        <w:t>T</w:t>
      </w:r>
      <w:r>
        <w:rPr/>
        <w:t xml:space="preserve">ANT CONSIDERATIONS </w:t>
      </w:r>
    </w:p>
    <w:p>
      <w:pPr>
        <w:pStyle w:val="Heading2"/>
        <w:numPr>
          <w:ilvl w:val="1"/>
          <w:numId w:val="2"/>
        </w:numPr>
        <w:bidi w:val="0"/>
        <w:ind w:hanging="1134" w:start="1134"/>
        <w:jc w:val="start"/>
        <w:outlineLvl w:val="0"/>
        <w:rPr/>
      </w:pPr>
      <w:bookmarkStart w:id="47" w:name="__RefHeading___Toc2125_522697639"/>
      <w:bookmarkEnd w:id="47"/>
      <w:r>
        <w:rPr/>
        <w:t xml:space="preserve">Supporting Young People During a Crisis </w:t>
      </w:r>
    </w:p>
    <w:p>
      <w:pPr>
        <w:pStyle w:val="BodyText"/>
        <w:bidi w:val="0"/>
        <w:spacing w:lineRule="auto" w:line="276" w:before="0" w:after="140"/>
        <w:jc w:val="start"/>
        <w:rPr/>
      </w:pPr>
      <w:r>
        <w:rPr/>
        <w:t xml:space="preserve">Young people may require additional support, mental health counselling, or medical </w:t>
      </w:r>
    </w:p>
    <w:p>
      <w:pPr>
        <w:pStyle w:val="BodyText"/>
        <w:bidi w:val="0"/>
        <w:jc w:val="start"/>
        <w:rPr/>
      </w:pPr>
      <w:r>
        <w:rPr/>
        <w:t xml:space="preserve">attention during or immediately following a crisis. It is important to check-in with young people who have experienced a crisis themselves as well as others who may have been present during an in-person emergency or who may also be indirectly impacted (friends, family, or others close to someone who experienced a crisis). </w:t>
      </w:r>
    </w:p>
    <w:p>
      <w:pPr>
        <w:pStyle w:val="BodyText"/>
        <w:bidi w:val="0"/>
        <w:jc w:val="start"/>
        <w:rPr/>
      </w:pPr>
      <w:r>
        <w:rPr/>
        <w:t xml:space="preserve">The following procedures should be followed during a crisis and immediately following a crisis: </w:t>
      </w:r>
    </w:p>
    <w:p>
      <w:pPr>
        <w:pStyle w:val="BodyText"/>
        <w:numPr>
          <w:ilvl w:val="0"/>
          <w:numId w:val="14"/>
        </w:numPr>
        <w:bidi w:val="0"/>
        <w:jc w:val="start"/>
        <w:rPr/>
      </w:pPr>
      <w:r>
        <w:rPr/>
        <w:t xml:space="preserve">Assess the physical, mental, and emotional state of young people directly or indirectly impacted by a crisis </w:t>
      </w:r>
    </w:p>
    <w:p>
      <w:pPr>
        <w:pStyle w:val="BodyText"/>
        <w:numPr>
          <w:ilvl w:val="0"/>
          <w:numId w:val="14"/>
        </w:numPr>
        <w:bidi w:val="0"/>
        <w:jc w:val="start"/>
        <w:rPr/>
      </w:pPr>
      <w:r>
        <w:rPr/>
        <w:t xml:space="preserve">Be supportive but also respect the young person’s right to privacy or confidentiality if there is no reporting requirement </w:t>
      </w:r>
    </w:p>
    <w:p>
      <w:pPr>
        <w:pStyle w:val="BodyText"/>
        <w:numPr>
          <w:ilvl w:val="0"/>
          <w:numId w:val="14"/>
        </w:numPr>
        <w:bidi w:val="0"/>
        <w:jc w:val="start"/>
        <w:rPr/>
      </w:pPr>
      <w:r>
        <w:rPr/>
        <w:t xml:space="preserve">Schedule a follow-up with anyone directly or indirectly impacted by a crisis with an appropriate person (Club counsellor, district Youth Protection officer, </w:t>
      </w:r>
      <w:r>
        <w:rPr/>
        <w:t>and the District I</w:t>
      </w:r>
      <w:r>
        <w:rPr>
          <w:color w:val="000000"/>
          <w:lang w:val="en-GB"/>
        </w:rPr>
        <w:t>n</w:t>
      </w:r>
      <w:r>
        <w:rPr/>
        <w:t xml:space="preserve">surance Officer </w:t>
      </w:r>
      <w:r>
        <w:rPr/>
        <w:t xml:space="preserve">etc.) </w:t>
      </w:r>
    </w:p>
    <w:p>
      <w:pPr>
        <w:pStyle w:val="BodyText"/>
        <w:numPr>
          <w:ilvl w:val="0"/>
          <w:numId w:val="14"/>
        </w:numPr>
        <w:bidi w:val="0"/>
        <w:jc w:val="start"/>
        <w:rPr/>
      </w:pPr>
      <w:r>
        <w:rPr/>
        <w:t xml:space="preserve">Offer additional support services as </w:t>
      </w:r>
      <w:r>
        <w:rPr/>
        <w:t xml:space="preserve">set out in APPENDIX C - </w:t>
      </w:r>
      <w:r>
        <w:rPr/>
        <w:t xml:space="preserve">List of Community and Government Services. </w:t>
      </w:r>
    </w:p>
    <w:p>
      <w:pPr>
        <w:pStyle w:val="BodyText"/>
        <w:bidi w:val="0"/>
        <w:jc w:val="start"/>
        <w:rPr>
          <w:i/>
          <w:color w:val="808080"/>
        </w:rPr>
      </w:pPr>
      <w:r>
        <w:rPr>
          <w:i/>
          <w:color w:val="808080"/>
        </w:rPr>
        <w:t xml:space="preserve">Note: Outline additional types of support that your district can offer according to your local circumstances or what types of professional services your district has contracted or has access to as part of your youth protection policies. </w:t>
      </w:r>
    </w:p>
    <w:p>
      <w:pPr>
        <w:pStyle w:val="Heading2"/>
        <w:numPr>
          <w:ilvl w:val="1"/>
          <w:numId w:val="2"/>
        </w:numPr>
        <w:bidi w:val="0"/>
        <w:ind w:hanging="1134" w:start="1134"/>
        <w:jc w:val="start"/>
        <w:outlineLvl w:val="0"/>
        <w:rPr/>
      </w:pPr>
      <w:bookmarkStart w:id="48" w:name="__RefHeading___Toc2127_522697639"/>
      <w:bookmarkEnd w:id="48"/>
      <w:r>
        <w:rPr/>
        <w:t xml:space="preserve">Administrative Protocols </w:t>
      </w:r>
    </w:p>
    <w:p>
      <w:pPr>
        <w:pStyle w:val="Heading3"/>
        <w:keepNext w:val="true"/>
        <w:numPr>
          <w:ilvl w:val="2"/>
          <w:numId w:val="2"/>
        </w:numPr>
        <w:bidi w:val="0"/>
        <w:spacing w:before="140" w:after="120"/>
        <w:ind w:hanging="0" w:start="1134" w:end="0"/>
        <w:jc w:val="start"/>
        <w:outlineLvl w:val="0"/>
        <w:rPr/>
      </w:pPr>
      <w:bookmarkStart w:id="49" w:name="__RefHeading___Toc4594_522697639"/>
      <w:bookmarkEnd w:id="49"/>
      <w:r>
        <w:rPr/>
        <w:t xml:space="preserve">Reporting: </w:t>
      </w:r>
    </w:p>
    <w:p>
      <w:pPr>
        <w:pStyle w:val="BodyText"/>
        <w:bidi w:val="0"/>
        <w:jc w:val="start"/>
        <w:rPr/>
      </w:pPr>
      <w:r>
        <w:rPr/>
        <w:t xml:space="preserve">All required reporting (district-level, local, state/provincial, national, international, and RI) shall be completed within the designated required time-frame. </w:t>
      </w:r>
    </w:p>
    <w:p>
      <w:pPr>
        <w:pStyle w:val="Heading3"/>
        <w:keepNext w:val="true"/>
        <w:numPr>
          <w:ilvl w:val="2"/>
          <w:numId w:val="2"/>
        </w:numPr>
        <w:bidi w:val="0"/>
        <w:spacing w:before="140" w:after="120"/>
        <w:ind w:hanging="0" w:start="1134" w:end="0"/>
        <w:jc w:val="start"/>
        <w:outlineLvl w:val="0"/>
        <w:rPr/>
      </w:pPr>
      <w:bookmarkStart w:id="50" w:name="__RefHeading___Toc4596_522697639"/>
      <w:bookmarkEnd w:id="50"/>
      <w:r>
        <w:rPr/>
        <w:t>Record-keeping:</w:t>
      </w:r>
    </w:p>
    <w:p>
      <w:pPr>
        <w:pStyle w:val="BodyText"/>
        <w:bidi w:val="0"/>
        <w:jc w:val="start"/>
        <w:rPr/>
      </w:pPr>
      <w:r>
        <w:rPr/>
        <w:t xml:space="preserve">An official record of a crisis response, including the corresponding completed debriefing questionnaire, along with any other relevant materials (press/media releases, media coverage, insurance claim application forms, official letters, email correspondence, police reports, etc.) shall be filed along with other private and confidential reports, accessible to only those with a need to review the record. </w:t>
      </w:r>
    </w:p>
    <w:p>
      <w:pPr>
        <w:pStyle w:val="BodyText"/>
        <w:bidi w:val="0"/>
        <w:jc w:val="start"/>
        <w:rPr>
          <w:i/>
          <w:color w:val="808080"/>
        </w:rPr>
      </w:pPr>
      <w:r>
        <w:rPr>
          <w:i/>
          <w:color w:val="808080"/>
        </w:rPr>
        <w:t xml:space="preserve">Note: Outline the specific required reporting time-frames either in this section or reference where they might be noted in your district youth protection policies. Outline additional record-keeping requirements according to your local circumstances. </w:t>
      </w:r>
    </w:p>
    <w:p>
      <w:pPr>
        <w:pStyle w:val="Heading2"/>
        <w:numPr>
          <w:ilvl w:val="1"/>
          <w:numId w:val="2"/>
        </w:numPr>
        <w:bidi w:val="0"/>
        <w:ind w:hanging="1134" w:start="1134"/>
        <w:jc w:val="start"/>
        <w:outlineLvl w:val="0"/>
        <w:rPr/>
      </w:pPr>
      <w:bookmarkStart w:id="51" w:name="__RefHeading___Toc2129_522697639"/>
      <w:bookmarkEnd w:id="51"/>
      <w:r>
        <w:rPr/>
        <w:t xml:space="preserve">Insurance and Expenses </w:t>
      </w:r>
    </w:p>
    <w:p>
      <w:pPr>
        <w:pStyle w:val="BodyText"/>
        <w:bidi w:val="0"/>
        <w:spacing w:lineRule="auto" w:line="276" w:before="0" w:after="140"/>
        <w:jc w:val="start"/>
        <w:rPr/>
      </w:pPr>
      <w:r>
        <w:rPr/>
        <w:t>Insurance: The district maintains liability insurance which can include coverage for  property damage incurred in an emergency/crisis. Review the policy coverage/limits for additional information and policy reporting guidelines. All insurance-related questions or requests to submit a claim must be referred t</w:t>
      </w:r>
      <w:r>
        <w:rPr/>
        <w:t xml:space="preserve">o the District Insurance Officer </w:t>
      </w:r>
      <w:hyperlink r:id="rId4">
        <w:r>
          <w:rPr>
            <w:rStyle w:val="Hyperlink"/>
          </w:rPr>
          <w:t>by</w:t>
        </w:r>
      </w:hyperlink>
      <w:r>
        <w:rPr/>
        <w:t xml:space="preserve"> way of filing a Helpdesk ticket which will be automatically distributed to the Zone 8 - Oceania the Insurance team.</w:t>
      </w:r>
    </w:p>
    <w:p>
      <w:pPr>
        <w:pStyle w:val="BodyText"/>
        <w:bidi w:val="0"/>
        <w:jc w:val="start"/>
        <w:rPr/>
      </w:pPr>
      <w:r>
        <w:rPr/>
        <w:t>The Helpdesk ticket form is triggered from this URL.</w:t>
      </w:r>
    </w:p>
    <w:p>
      <w:pPr>
        <w:pStyle w:val="BodyText"/>
        <w:bidi w:val="0"/>
        <w:jc w:val="start"/>
        <w:rPr/>
      </w:pPr>
      <w:r>
        <w:rPr/>
        <w:t>https://rotaryoceania.zone/helpdesk-forms</w:t>
      </w:r>
    </w:p>
    <w:p>
      <w:pPr>
        <w:pStyle w:val="BodyText"/>
        <w:bidi w:val="0"/>
        <w:jc w:val="start"/>
        <w:rPr>
          <w:i/>
        </w:rPr>
      </w:pPr>
      <w:r>
        <w:rPr>
          <w:i/>
          <w:color w:val="808080"/>
        </w:rPr>
        <w:t>Note: A student’s travel insurance should provide medical, repatriation, and evacuation coverages. Know the policy requirements, and the process for activating coverage, reporting a loss, and submitting a claim</w:t>
      </w:r>
      <w:r>
        <w:rPr>
          <w:i/>
        </w:rPr>
        <w:t xml:space="preserve"> </w:t>
      </w:r>
    </w:p>
    <w:p>
      <w:pPr>
        <w:pStyle w:val="Heading2"/>
        <w:numPr>
          <w:ilvl w:val="1"/>
          <w:numId w:val="2"/>
        </w:numPr>
        <w:bidi w:val="0"/>
        <w:ind w:hanging="1134" w:start="1134"/>
        <w:jc w:val="start"/>
        <w:outlineLvl w:val="0"/>
        <w:rPr/>
      </w:pPr>
      <w:bookmarkStart w:id="52" w:name="__RefHeading___Toc2131_522697639"/>
      <w:bookmarkEnd w:id="52"/>
      <w:r>
        <w:rPr/>
        <w:t xml:space="preserve">Expenses: </w:t>
      </w:r>
    </w:p>
    <w:p>
      <w:pPr>
        <w:pStyle w:val="BodyText"/>
        <w:bidi w:val="0"/>
        <w:jc w:val="start"/>
        <w:rPr/>
      </w:pPr>
      <w:r>
        <w:rPr/>
        <w:t>Each</w:t>
      </w:r>
      <w:r>
        <w:rPr/>
        <w:t xml:space="preserve"> district maintains an emergency crisis management fund in the event that there are expenses incurred that require immediate payment to provide for the safety and well-being of youth and volunteers, including expenses that may be later reimbursed by a liability insurance provider and those that may not be reimbursed. To the extent possible, all expenses must be approved in advance b</w:t>
      </w:r>
      <w:r>
        <w:rPr/>
        <w:t>y the District Treasurer at treasurer@rotarydistrict</w:t>
      </w:r>
      <w:r>
        <w:rPr/>
        <w:t>xxxx</w:t>
      </w:r>
      <w:r>
        <w:rPr/>
        <w:t>.org</w:t>
      </w:r>
      <w:r>
        <w:rPr>
          <w:i/>
          <w:color w:val="7F7F7F"/>
        </w:rPr>
        <w:t xml:space="preserve"> </w:t>
      </w:r>
      <w:r>
        <w:rPr/>
        <w:t xml:space="preserve">and all receipts must be submitted for reimbursement and record-keeping.   </w:t>
      </w:r>
      <w:r>
        <w:rPr/>
        <w:t xml:space="preserve">Alternatively expense claims can be made by submitting an Expense </w:t>
      </w:r>
      <w:r>
        <w:rPr/>
        <w:t>Claim through the Flectra DASHBOARD.</w:t>
      </w:r>
    </w:p>
    <w:p>
      <w:pPr>
        <w:pStyle w:val="BodyText"/>
        <w:bidi w:val="0"/>
        <w:jc w:val="start"/>
        <w:rPr>
          <w:i/>
          <w:color w:val="808080"/>
        </w:rPr>
      </w:pPr>
      <w:r>
        <w:rPr>
          <w:i/>
          <w:color w:val="808080"/>
        </w:rPr>
        <w:t xml:space="preserve">Note: Reference the name and contact information for your insurance provider or note where to find coverage and policy information, and designate a main point of contact for insurance-related questions or claims. Crises can be expensive, especially when there may be costs not covered by insurance. Consult with your district finance committee and insurance provider to determine how much you should budget for an emergency crisis management fund and how those funds will be kept, audited, and managed. Outline any additional procedural considerations according to your local circumstances. </w:t>
      </w:r>
    </w:p>
    <w:p>
      <w:pPr>
        <w:pStyle w:val="Heading2"/>
        <w:numPr>
          <w:ilvl w:val="1"/>
          <w:numId w:val="2"/>
        </w:numPr>
        <w:bidi w:val="0"/>
        <w:ind w:hanging="1134" w:start="1134"/>
        <w:jc w:val="start"/>
        <w:outlineLvl w:val="0"/>
        <w:rPr/>
      </w:pPr>
      <w:bookmarkStart w:id="53" w:name="__RefHeading___Toc2133_522697639"/>
      <w:bookmarkEnd w:id="53"/>
      <w:r>
        <w:rPr/>
        <w:t xml:space="preserve">Media Crisis Guidelines </w:t>
      </w:r>
    </w:p>
    <w:p>
      <w:pPr>
        <w:pStyle w:val="BodyText"/>
        <w:bidi w:val="0"/>
        <w:jc w:val="start"/>
        <w:rPr/>
      </w:pPr>
      <w:r>
        <w:rPr/>
        <w:t xml:space="preserve">In the event of a media inquiry, request for comment, interview, or other details related to a crisis, the designated media spokesperson shall be the </w:t>
      </w:r>
      <w:r>
        <w:rPr/>
        <w:t>D</w:t>
      </w:r>
      <w:r>
        <w:rPr/>
        <w:t xml:space="preserve">istrict </w:t>
      </w:r>
      <w:r>
        <w:rPr/>
        <w:t>G</w:t>
      </w:r>
      <w:r>
        <w:rPr/>
        <w:t xml:space="preserve">overnor, unless otherwise noted.  </w:t>
      </w:r>
      <w:r>
        <w:rPr/>
        <w:t xml:space="preserve">Any request by the media should be directed to </w:t>
      </w:r>
      <w:r>
        <w:rPr>
          <w:b/>
          <w:bCs/>
          <w:color w:val="000000"/>
          <w:u w:val="single"/>
        </w:rPr>
        <w:t>curren</w:t>
      </w:r>
      <w:hyperlink r:id="rId5">
        <w:r>
          <w:rPr>
            <w:rStyle w:val="Hyperlink"/>
            <w:b/>
            <w:bCs/>
            <w:color w:val="000000"/>
            <w:u w:val="single"/>
          </w:rPr>
          <w:t>dgtrain@</w:t>
        </w:r>
        <w:r>
          <w:rPr>
            <w:rStyle w:val="Hyperlink"/>
            <w:b/>
            <w:bCs/>
            <w:color w:val="000000"/>
            <w:u w:val="single"/>
          </w:rPr>
          <w:t>rotaryoceania.zone</w:t>
        </w:r>
      </w:hyperlink>
      <w:r>
        <w:rPr>
          <w:b/>
          <w:bCs/>
          <w:color w:val="000000"/>
          <w:u w:val="single"/>
        </w:rPr>
        <w:t xml:space="preserve"> </w:t>
      </w:r>
    </w:p>
    <w:p>
      <w:pPr>
        <w:pStyle w:val="BodyText"/>
        <w:bidi w:val="0"/>
        <w:jc w:val="start"/>
        <w:rPr/>
      </w:pPr>
      <w:r>
        <w:rPr/>
        <w:t>All volunteers should be instructed as part of their crisis training to not respond to or otherwise comment on a crisis situation and rather refer all inquiries to the designated spokesperson. All volunteers should refrain from commenting on or otherwise sharing published content involving a crisis and refer the content to the designated spokesperson.</w:t>
      </w:r>
    </w:p>
    <w:p>
      <w:pPr>
        <w:pStyle w:val="BodyText"/>
        <w:bidi w:val="0"/>
        <w:jc w:val="start"/>
        <w:rPr>
          <w:i/>
        </w:rPr>
      </w:pPr>
      <w:r>
        <w:rPr>
          <w:i/>
          <w:color w:val="808080"/>
        </w:rPr>
        <w:t xml:space="preserve">Note: Outline additional guidance, procedural considerations, and responsible people according to your local circumstances. Refer to </w:t>
      </w:r>
      <w:r>
        <w:rPr>
          <w:i/>
          <w:color w:val="0563C1"/>
        </w:rPr>
        <w:t>Rotary’s Media Crisis Guidelines</w:t>
      </w:r>
      <w:r>
        <w:rPr>
          <w:i/>
          <w:color w:val="808080"/>
        </w:rPr>
        <w:t xml:space="preserve"> for additional guidance when developing your district media crisis guidelines. </w:t>
      </w:r>
      <w:r>
        <w:br w:type="page"/>
      </w:r>
    </w:p>
    <w:p>
      <w:pPr>
        <w:pStyle w:val="Title"/>
        <w:bidi w:val="0"/>
        <w:rPr/>
      </w:pPr>
      <w:r>
        <w:rPr/>
      </w:r>
      <w:bookmarkStart w:id="54" w:name="__RefHeading___Toc2123_522697639_Copy_1"/>
      <w:bookmarkStart w:id="55" w:name="__RefHeading___Toc2123_522697639_Copy_1"/>
      <w:bookmarkEnd w:id="55"/>
    </w:p>
    <w:p>
      <w:pPr>
        <w:pStyle w:val="Title"/>
        <w:bidi w:val="0"/>
        <w:spacing w:before="295" w:after="119"/>
        <w:jc w:val="center"/>
        <w:rPr/>
      </w:pPr>
      <w:bookmarkStart w:id="56" w:name="__RefHeading___Toc15177_3986215611"/>
      <w:bookmarkEnd w:id="56"/>
      <w:r>
        <w:rPr/>
        <w:t xml:space="preserve">APPENDIX A -  DISTRICT CONTACT LIST </w:t>
      </w:r>
      <w:r>
        <w:rPr/>
        <w:t xml:space="preserve">&amp; </w:t>
      </w:r>
      <w:r>
        <w:rPr/>
        <w:t xml:space="preserve">AND CRISIS NOTIFICATION PROTOCOLS </w:t>
      </w:r>
    </w:p>
    <w:p>
      <w:pPr>
        <w:pStyle w:val="BodyText"/>
        <w:bidi w:val="0"/>
        <w:jc w:val="start"/>
        <w:rPr/>
      </w:pPr>
      <w:r>
        <w:rPr/>
        <w:t>Th</w:t>
      </w:r>
      <w:r>
        <w:rPr/>
        <w:t>e</w:t>
      </w:r>
      <w:r>
        <w:rPr/>
        <w:t>s</w:t>
      </w:r>
      <w:r>
        <w:rPr/>
        <w:t>e</w:t>
      </w:r>
      <w:r>
        <w:rPr/>
        <w:t xml:space="preserve"> contact list </w:t>
      </w:r>
      <w:r>
        <w:rPr/>
        <w:t xml:space="preserve">and </w:t>
      </w:r>
      <w:r>
        <w:rPr>
          <w:color w:val="000000"/>
          <w:lang w:val="en-GB"/>
        </w:rPr>
        <w:t>“Distribution Lists” within the Rotary Oceania email server.</w:t>
      </w:r>
    </w:p>
    <w:p>
      <w:pPr>
        <w:pStyle w:val="BodyText"/>
        <w:bidi w:val="0"/>
        <w:jc w:val="start"/>
        <w:rPr>
          <w:rFonts w:ascii="Arial" w:hAnsi="Arial"/>
          <w:color w:val="000000"/>
          <w:lang w:val="en-GB"/>
        </w:rPr>
      </w:pPr>
      <w:r>
        <w:rPr>
          <w:color w:val="000000"/>
          <w:lang w:val="en-GB"/>
        </w:rPr>
        <w:t>The Distribution lists are regularly updated and reviewed in June  each year for changes on 1 July.</w:t>
      </w:r>
    </w:p>
    <w:p>
      <w:pPr>
        <w:pStyle w:val="BodyText"/>
        <w:bidi w:val="0"/>
        <w:jc w:val="start"/>
        <w:rPr/>
      </w:pPr>
      <w:r>
        <w:rPr/>
        <w:t xml:space="preserve">The primary method of managing tasks is by filing a HELPDESK tickets </w:t>
      </w:r>
      <w:r>
        <w:rPr/>
        <w:t xml:space="preserve">at </w:t>
      </w:r>
    </w:p>
    <w:p>
      <w:pPr>
        <w:pStyle w:val="BodyText"/>
        <w:bidi w:val="0"/>
        <w:jc w:val="start"/>
        <w:rPr>
          <w:b/>
          <w:bCs/>
          <w:u w:val="single"/>
        </w:rPr>
      </w:pPr>
      <w:r>
        <w:rPr>
          <w:b/>
          <w:bCs/>
          <w:u w:val="single"/>
        </w:rPr>
        <w:t>youthexchange.org.nz</w:t>
      </w:r>
    </w:p>
    <w:p>
      <w:pPr>
        <w:pStyle w:val="BodyText"/>
        <w:bidi w:val="0"/>
        <w:jc w:val="start"/>
        <w:rPr/>
      </w:pPr>
      <w:r>
        <w:rPr/>
        <w:t>A</w:t>
      </w:r>
      <w:r>
        <w:rPr/>
        <w:t xml:space="preserve">nyone who may need to contact those on this list in the event of an emergency (students, parents, host families, on-site medical personnel, etc.) </w:t>
      </w:r>
      <w:r>
        <w:rPr/>
        <w:t xml:space="preserve">should file a Helpdesk ticket and </w:t>
      </w:r>
      <w:r>
        <w:rPr>
          <w:color w:val="000000"/>
          <w:lang w:val="en-GB"/>
        </w:rPr>
        <w:t>can</w:t>
      </w:r>
      <w:r>
        <w:rPr/>
        <w:t xml:space="preserve"> also communicate by using the Distribution Lists </w:t>
      </w:r>
      <w:r>
        <w:rPr/>
        <w:t>by email to:</w:t>
      </w:r>
    </w:p>
    <w:p>
      <w:pPr>
        <w:pStyle w:val="BodyText"/>
        <w:bidi w:val="0"/>
        <w:jc w:val="start"/>
        <w:rPr/>
      </w:pPr>
      <w:r>
        <w:rPr/>
        <w:t xml:space="preserve">DG TRAIN = </w:t>
      </w:r>
      <w:hyperlink r:id="rId6">
        <w:r>
          <w:rPr>
            <w:rStyle w:val="Hyperlink"/>
            <w:b/>
            <w:bCs/>
            <w:u w:val="single"/>
          </w:rPr>
          <w:t>currentd</w:t>
        </w:r>
        <w:r>
          <w:rPr>
            <w:rStyle w:val="Hyperlink"/>
            <w:b/>
            <w:bCs/>
            <w:u w:val="single"/>
          </w:rPr>
          <w:t>gtrain@rotary</w:t>
        </w:r>
        <w:r>
          <w:rPr>
            <w:rStyle w:val="Hyperlink"/>
            <w:b/>
            <w:bCs/>
            <w:u w:val="single"/>
          </w:rPr>
          <w:t>r</w:t>
        </w:r>
      </w:hyperlink>
      <w:r>
        <w:rPr>
          <w:b/>
          <w:bCs/>
          <w:u w:val="single"/>
        </w:rPr>
        <w:t>otaryoceania.zone</w:t>
      </w:r>
    </w:p>
    <w:p>
      <w:pPr>
        <w:pStyle w:val="BodyText"/>
        <w:bidi w:val="0"/>
        <w:jc w:val="start"/>
        <w:rPr/>
      </w:pPr>
      <w:r>
        <w:rPr/>
        <w:t xml:space="preserve">YOUTH PROGRAMMES GENERALLY = </w:t>
      </w:r>
      <w:hyperlink r:id="rId7">
        <w:r>
          <w:rPr>
            <w:rStyle w:val="Hyperlink"/>
            <w:b/>
            <w:bCs/>
            <w:u w:val="none"/>
          </w:rPr>
          <w:t>youth-</w:t>
        </w:r>
        <w:r>
          <w:rPr>
            <w:rStyle w:val="Hyperlink"/>
            <w:b/>
            <w:bCs/>
            <w:u w:val="none"/>
          </w:rPr>
          <w:t>programmes</w:t>
        </w:r>
        <w:r>
          <w:rPr>
            <w:rStyle w:val="Hyperlink"/>
            <w:b/>
            <w:bCs/>
            <w:u w:val="none"/>
          </w:rPr>
          <w:t>@rotary</w:t>
        </w:r>
        <w:r>
          <w:rPr>
            <w:rStyle w:val="Hyperlink"/>
            <w:b/>
            <w:bCs/>
            <w:u w:val="none"/>
          </w:rPr>
          <w:t>oceania.zone</w:t>
        </w:r>
      </w:hyperlink>
    </w:p>
    <w:p>
      <w:pPr>
        <w:pStyle w:val="BodyText"/>
        <w:bidi w:val="0"/>
        <w:jc w:val="start"/>
        <w:rPr/>
      </w:pPr>
      <w:r>
        <w:rPr/>
        <w:t xml:space="preserve">RYE DISTRICT CHAIRS = </w:t>
      </w:r>
      <w:r>
        <w:rPr>
          <w:b/>
          <w:bCs/>
          <w:u w:val="single"/>
        </w:rPr>
        <w:t>ryechairs@rotaryoceania.zone</w:t>
      </w:r>
    </w:p>
    <w:p>
      <w:pPr>
        <w:pStyle w:val="BodyText"/>
        <w:bidi w:val="0"/>
        <w:jc w:val="start"/>
        <w:rPr/>
      </w:pPr>
      <w:r>
        <w:rPr/>
        <w:t xml:space="preserve">DISTRICT YOUTH PROTECTION OFFICERS = </w:t>
      </w:r>
      <w:r>
        <w:rPr>
          <w:b/>
          <w:bCs/>
          <w:color w:val="000000"/>
          <w:u w:val="single"/>
          <w:lang w:val="zxx" w:eastAsia="zxx" w:bidi="zxx"/>
        </w:rPr>
        <w:t>ypochairs</w:t>
      </w:r>
      <w:hyperlink r:id="rId8">
        <w:r>
          <w:rPr>
            <w:rStyle w:val="Hyperlink"/>
            <w:b/>
            <w:bCs/>
          </w:rPr>
          <w:t>@rotaryoceania.zone</w:t>
        </w:r>
      </w:hyperlink>
    </w:p>
    <w:p>
      <w:pPr>
        <w:pStyle w:val="BodyText"/>
        <w:bidi w:val="0"/>
        <w:jc w:val="start"/>
        <w:rPr/>
      </w:pPr>
      <w:r>
        <w:rPr/>
        <w:t xml:space="preserve">DISTRICT INSURANCE OFFICERS IN OCEANIA = </w:t>
      </w:r>
      <w:r>
        <w:rPr>
          <w:b/>
          <w:bCs/>
          <w:u w:val="single"/>
        </w:rPr>
        <w:t>nzdilos@rotaryoceania.zone</w:t>
      </w:r>
    </w:p>
    <w:p>
      <w:pPr>
        <w:pStyle w:val="BodyText"/>
        <w:bidi w:val="0"/>
        <w:jc w:val="start"/>
        <w:rPr>
          <w:i/>
          <w:color w:val="A6A6A6"/>
        </w:rPr>
      </w:pPr>
      <w:r>
        <w:rPr>
          <w:i/>
          <w:color w:val="A6A6A6"/>
        </w:rPr>
      </w:r>
      <w:r>
        <w:br w:type="page"/>
      </w:r>
    </w:p>
    <w:p>
      <w:pPr>
        <w:pStyle w:val="Title"/>
        <w:bidi w:val="0"/>
        <w:rPr/>
      </w:pPr>
      <w:bookmarkStart w:id="57" w:name="__RefHeading___Toc15175_3986215611"/>
      <w:bookmarkEnd w:id="57"/>
      <w:r>
        <w:rPr/>
        <w:t xml:space="preserve">APPENDIX B - SAMPLE DEBRIEFING </w:t>
      </w:r>
    </w:p>
    <w:p>
      <w:pPr>
        <w:pStyle w:val="BodyText"/>
        <w:bidi w:val="0"/>
        <w:jc w:val="start"/>
        <w:rPr>
          <w:b/>
          <w:color w:val="005DAA"/>
        </w:rPr>
      </w:pPr>
      <w:r>
        <w:rPr>
          <w:b/>
          <w:color w:val="005DAA"/>
        </w:rPr>
        <w:t xml:space="preserve">QUESTIONNAIRE </w:t>
      </w:r>
    </w:p>
    <w:p>
      <w:pPr>
        <w:pStyle w:val="BodyText"/>
        <w:bidi w:val="0"/>
        <w:spacing w:lineRule="auto" w:line="276" w:before="0" w:after="140"/>
        <w:jc w:val="start"/>
        <w:rPr/>
      </w:pPr>
      <w:r>
        <w:rPr/>
        <w:t>This questionnaire should be customized according to your local circumstances and include clear instructions, designate a responsible person, and indicate a realistic timeline for follow-up:</w:t>
      </w:r>
    </w:p>
    <w:p>
      <w:pPr>
        <w:pStyle w:val="BodyText"/>
        <w:bidi w:val="0"/>
        <w:jc w:val="start"/>
        <w:rPr>
          <w:b/>
        </w:rPr>
      </w:pPr>
      <w:r>
        <w:rPr>
          <w:b/>
        </w:rPr>
        <w:t xml:space="preserve">Section 1 – Crisis Overview </w:t>
      </w:r>
    </w:p>
    <w:p>
      <w:pPr>
        <w:pStyle w:val="BodyText"/>
        <w:bidi w:val="0"/>
        <w:spacing w:lineRule="auto" w:line="276" w:before="0" w:after="140"/>
        <w:jc w:val="start"/>
        <w:rPr/>
      </w:pPr>
      <w:r>
        <w:rPr/>
        <w:t>Crisis Type:</w:t>
      </w:r>
      <w:r>
        <w:rPr>
          <w:color w:val="7F7F7F"/>
        </w:rPr>
        <w:t xml:space="preserve"> </w:t>
      </w:r>
    </w:p>
    <w:p>
      <w:pPr>
        <w:pStyle w:val="BodyText"/>
        <w:bidi w:val="0"/>
        <w:spacing w:lineRule="auto" w:line="276" w:before="0" w:after="140"/>
        <w:jc w:val="start"/>
        <w:rPr/>
      </w:pPr>
      <w:r>
        <w:rPr/>
        <w:t>Crisis Level:</w:t>
      </w:r>
      <w:r>
        <w:rPr>
          <w:color w:val="7F7F7F"/>
        </w:rPr>
        <w:t xml:space="preserve"> </w:t>
      </w:r>
    </w:p>
    <w:p>
      <w:pPr>
        <w:pStyle w:val="BodyText"/>
        <w:bidi w:val="0"/>
        <w:spacing w:lineRule="auto" w:line="276" w:before="0" w:after="140"/>
        <w:jc w:val="start"/>
        <w:rPr/>
      </w:pPr>
      <w:r>
        <w:rPr/>
        <w:t>Brief description:</w:t>
      </w:r>
      <w:r>
        <w:rPr>
          <w:color w:val="7F7F7F"/>
        </w:rPr>
        <w:t xml:space="preserve"> </w:t>
      </w:r>
    </w:p>
    <w:p>
      <w:pPr>
        <w:pStyle w:val="BodyText"/>
        <w:bidi w:val="0"/>
        <w:spacing w:lineRule="auto" w:line="276" w:before="0" w:after="140"/>
        <w:jc w:val="start"/>
        <w:rPr/>
      </w:pPr>
      <w:r>
        <w:rPr/>
        <w:t>Date(s) occurred:</w:t>
      </w:r>
    </w:p>
    <w:p>
      <w:pPr>
        <w:pStyle w:val="BodyText"/>
        <w:bidi w:val="0"/>
        <w:jc w:val="start"/>
        <w:rPr>
          <w:b/>
        </w:rPr>
      </w:pPr>
      <w:r>
        <w:rPr>
          <w:b/>
        </w:rPr>
        <w:t xml:space="preserve">Section 2 – Crisis Response Check-list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1. Were the crisis type and level appropriately identified?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2. Was the crisis level appropriately escalated/de-escalated?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3. Were the response protocols followed according to the crisis type/level?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4. Were the notification protocols followed appropriately?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5. Were the reporting requirements followed appropriately?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6. </w:t>
      </w:r>
      <w:r>
        <w:rPr>
          <w:i/>
        </w:rPr>
        <w:t xml:space="preserve">If reporting required: </w:t>
      </w:r>
      <w:r>
        <w:rPr/>
        <w:t xml:space="preserve">Was a report submitted to RI within 72 hours?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7. Was an insurance carrier notified?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8. Was the crisis resolved appropriately? </w:t>
      </w:r>
    </w:p>
    <w:p>
      <w:pPr>
        <w:pStyle w:val="BodyText"/>
        <w:bidi w:val="0"/>
        <w:spacing w:lineRule="auto" w:line="276" w:before="0" w:after="140"/>
        <w:jc w:val="start"/>
        <w:rPr/>
      </w:pPr>
      <w:r>
        <w:rPr/>
        <w:t xml:space="preserve">If any answer is marked “No” describe below for all instances: </w:t>
      </w:r>
    </w:p>
    <w:p>
      <w:pPr>
        <w:pStyle w:val="BodyText"/>
        <w:bidi w:val="0"/>
        <w:jc w:val="start"/>
        <w:rPr>
          <w:i/>
          <w:color w:val="7F7F7F"/>
        </w:rPr>
      </w:pPr>
      <w:r>
        <w:rPr>
          <w:i/>
          <w:color w:val="7F7F7F"/>
        </w:rPr>
        <w:t xml:space="preserve">Example: 1. At first we thought the crisis was only a Level 1, but after reviewing it again we determined it was actually a Level 2. </w:t>
      </w:r>
    </w:p>
    <w:p>
      <w:pPr>
        <w:pStyle w:val="BodyText"/>
        <w:bidi w:val="0"/>
        <w:jc w:val="start"/>
        <w:rPr>
          <w:b/>
        </w:rPr>
      </w:pPr>
      <w:r>
        <w:rPr>
          <w:b/>
        </w:rPr>
        <w:t xml:space="preserve">Section 3 – Crisis Management Plan Updates and Emergency Training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1. Does the Crisis Management Plan need to be updated? </w:t>
      </w:r>
    </w:p>
    <w:p>
      <w:pPr>
        <w:pStyle w:val="BodyText"/>
        <w:bidi w:val="0"/>
        <w:spacing w:lineRule="auto" w:line="276" w:before="0" w:after="140"/>
        <w:jc w:val="start"/>
        <w:rPr/>
      </w:pPr>
      <w:r>
        <w:rPr/>
        <w:t xml:space="preserve">If yes, describe what updates are required and include details in Section 3: </w:t>
      </w:r>
    </w:p>
    <w:p>
      <w:pPr>
        <w:pStyle w:val="BodyText"/>
        <w:bidi w:val="0"/>
        <w:jc w:val="start"/>
        <w:rPr>
          <w:i/>
          <w:color w:val="7F7F7F"/>
        </w:rPr>
      </w:pPr>
      <w:r>
        <w:rPr>
          <w:i/>
          <w:color w:val="7F7F7F"/>
        </w:rPr>
        <w:t xml:space="preserve">Example: The crisis definitions for each type of crisis will be updated with more detail to make it easier to identify the type and level of each crisis. </w:t>
      </w:r>
    </w:p>
    <w:p>
      <w:pPr>
        <w:pStyle w:val="BodyText"/>
        <w:bidi w:val="0"/>
        <w:spacing w:lineRule="auto" w:line="276" w:before="0" w:after="140"/>
        <w:jc w:val="start"/>
        <w:rPr/>
      </w:pPr>
      <w:r>
        <w:rPr/>
        <w:t xml:space="preserve">☐ </w:t>
      </w:r>
      <w:r>
        <w:rPr>
          <w:i/>
        </w:rPr>
        <w:t xml:space="preserve">Yes </w:t>
      </w:r>
      <w:r>
        <w:rPr/>
        <w:t xml:space="preserve">☐ </w:t>
      </w:r>
      <w:r>
        <w:rPr>
          <w:i/>
        </w:rPr>
        <w:t xml:space="preserve">No </w:t>
      </w:r>
    </w:p>
    <w:p>
      <w:pPr>
        <w:pStyle w:val="BodyText"/>
        <w:bidi w:val="0"/>
        <w:spacing w:lineRule="auto" w:line="276" w:before="0" w:after="140"/>
        <w:jc w:val="start"/>
        <w:rPr/>
      </w:pPr>
      <w:r>
        <w:rPr/>
        <w:t xml:space="preserve">2. Is an emergency training required? </w:t>
      </w:r>
    </w:p>
    <w:p>
      <w:pPr>
        <w:pStyle w:val="BodyText"/>
        <w:bidi w:val="0"/>
        <w:spacing w:lineRule="auto" w:line="276" w:before="0" w:after="140"/>
        <w:jc w:val="start"/>
        <w:rPr/>
      </w:pPr>
      <w:r>
        <w:rPr/>
        <w:t xml:space="preserve">If yes, describe what updates are required and include details in Section 3: </w:t>
      </w:r>
    </w:p>
    <w:p>
      <w:pPr>
        <w:pStyle w:val="BodyText"/>
        <w:bidi w:val="0"/>
        <w:jc w:val="start"/>
        <w:rPr>
          <w:i/>
          <w:color w:val="7F7F7F"/>
        </w:rPr>
      </w:pPr>
      <w:r>
        <w:rPr>
          <w:i/>
          <w:color w:val="7F7F7F"/>
        </w:rPr>
        <w:t xml:space="preserve">Example: The Core CMT will conduct a 30-minute virtual meeting with entire Crisis Response Team after the crisis definitions and levels are updated to make sure everyone is updated. </w:t>
      </w:r>
    </w:p>
    <w:p>
      <w:pPr>
        <w:pStyle w:val="BodyText"/>
        <w:bidi w:val="0"/>
        <w:jc w:val="start"/>
        <w:rPr>
          <w:b/>
        </w:rPr>
      </w:pPr>
      <w:r>
        <w:rPr>
          <w:b/>
        </w:rPr>
        <w:t xml:space="preserve">Section 4 – Crisis Resolution Follow-up </w:t>
      </w:r>
    </w:p>
    <w:p>
      <w:pPr>
        <w:pStyle w:val="BodyText"/>
        <w:bidi w:val="0"/>
        <w:spacing w:lineRule="auto" w:line="276" w:before="0" w:after="140"/>
        <w:jc w:val="start"/>
        <w:rPr/>
      </w:pPr>
      <w:r>
        <w:rPr/>
        <w:t xml:space="preserve">Outline all follow-up steps required, the responsible person for each, and a timeline to </w:t>
      </w:r>
    </w:p>
    <w:p>
      <w:pPr>
        <w:pStyle w:val="BodyText"/>
        <w:bidi w:val="0"/>
        <w:spacing w:lineRule="auto" w:line="276" w:before="0" w:after="140"/>
        <w:jc w:val="start"/>
        <w:rPr/>
      </w:pPr>
      <w:r>
        <w:rPr/>
        <w:t xml:space="preserve">complete the action steps: </w:t>
      </w:r>
    </w:p>
    <w:p>
      <w:pPr>
        <w:pStyle w:val="BodyText"/>
        <w:bidi w:val="0"/>
        <w:spacing w:lineRule="auto" w:line="276" w:before="0" w:after="140"/>
        <w:jc w:val="start"/>
        <w:rPr/>
      </w:pPr>
      <w:r>
        <w:rPr/>
        <w:t xml:space="preserve">Follow-up </w:t>
      </w:r>
    </w:p>
    <w:p>
      <w:pPr>
        <w:pStyle w:val="BodyText"/>
        <w:bidi w:val="0"/>
        <w:spacing w:lineRule="auto" w:line="276" w:before="0" w:after="140"/>
        <w:jc w:val="start"/>
        <w:rPr/>
      </w:pPr>
      <w:r>
        <w:rPr/>
        <w:t xml:space="preserve">Responsible person </w:t>
      </w:r>
    </w:p>
    <w:p>
      <w:pPr>
        <w:pStyle w:val="BodyText"/>
        <w:bidi w:val="0"/>
        <w:spacing w:lineRule="auto" w:line="276" w:before="0" w:after="140"/>
        <w:jc w:val="start"/>
        <w:rPr/>
      </w:pPr>
      <w:r>
        <w:rPr/>
        <w:t xml:space="preserve">Timeline </w:t>
      </w:r>
    </w:p>
    <w:p>
      <w:pPr>
        <w:pStyle w:val="BodyText"/>
        <w:bidi w:val="0"/>
        <w:jc w:val="start"/>
        <w:rPr>
          <w:i/>
          <w:color w:val="7F7F7F"/>
        </w:rPr>
      </w:pPr>
      <w:r>
        <w:rPr>
          <w:i/>
          <w:color w:val="7F7F7F"/>
        </w:rPr>
        <w:t>Ex</w:t>
      </w:r>
      <w:r>
        <w:rPr>
          <w:i/>
          <w:color w:val="7F7F7F"/>
        </w:rPr>
        <w:t>ample</w:t>
      </w:r>
    </w:p>
    <w:p>
      <w:pPr>
        <w:pStyle w:val="BodyText"/>
        <w:bidi w:val="0"/>
        <w:jc w:val="start"/>
        <w:rPr>
          <w:i/>
          <w:color w:val="7F7F7F"/>
        </w:rPr>
      </w:pPr>
      <w:r>
        <w:rPr>
          <w:i/>
          <w:color w:val="7F7F7F"/>
        </w:rPr>
        <w:t xml:space="preserve">Update the Crisis Management Plan </w:t>
      </w:r>
    </w:p>
    <w:p>
      <w:pPr>
        <w:pStyle w:val="BodyText"/>
        <w:bidi w:val="0"/>
        <w:jc w:val="start"/>
        <w:rPr>
          <w:i/>
          <w:color w:val="7F7F7F"/>
        </w:rPr>
      </w:pPr>
      <w:r>
        <w:rPr>
          <w:i/>
          <w:color w:val="7F7F7F"/>
        </w:rPr>
        <w:t xml:space="preserve">DG, Core CMT </w:t>
      </w:r>
    </w:p>
    <w:p>
      <w:pPr>
        <w:pStyle w:val="BodyText"/>
        <w:bidi w:val="0"/>
        <w:jc w:val="start"/>
        <w:rPr>
          <w:i/>
          <w:color w:val="7F7F7F"/>
        </w:rPr>
      </w:pPr>
      <w:r>
        <w:rPr>
          <w:i/>
          <w:color w:val="7F7F7F"/>
        </w:rPr>
        <w:t xml:space="preserve">4 weeks or by </w:t>
      </w:r>
    </w:p>
    <w:p>
      <w:pPr>
        <w:pStyle w:val="BodyText"/>
        <w:bidi w:val="0"/>
        <w:jc w:val="start"/>
        <w:rPr>
          <w:i/>
          <w:color w:val="7F7F7F"/>
        </w:rPr>
      </w:pPr>
      <w:r>
        <w:rPr>
          <w:i/>
          <w:color w:val="7F7F7F"/>
        </w:rPr>
        <w:t xml:space="preserve">(insert date) </w:t>
      </w:r>
    </w:p>
    <w:p>
      <w:pPr>
        <w:pStyle w:val="BodyText"/>
        <w:bidi w:val="0"/>
        <w:jc w:val="start"/>
        <w:rPr>
          <w:i/>
          <w:color w:val="7F7F7F"/>
        </w:rPr>
      </w:pPr>
      <w:r>
        <w:rPr>
          <w:i/>
          <w:color w:val="7F7F7F"/>
        </w:rPr>
        <w:t xml:space="preserve">Ex. Conduct online Zoom training to share the </w:t>
      </w:r>
    </w:p>
    <w:p>
      <w:pPr>
        <w:pStyle w:val="BodyText"/>
        <w:bidi w:val="0"/>
        <w:jc w:val="start"/>
        <w:rPr>
          <w:i/>
          <w:color w:val="7F7F7F"/>
        </w:rPr>
      </w:pPr>
      <w:r>
        <w:rPr>
          <w:i/>
          <w:color w:val="7F7F7F"/>
        </w:rPr>
        <w:t xml:space="preserve">updated Crisis Management Plan </w:t>
      </w:r>
    </w:p>
    <w:p>
      <w:pPr>
        <w:pStyle w:val="BodyText"/>
        <w:bidi w:val="0"/>
        <w:jc w:val="start"/>
        <w:rPr>
          <w:i/>
          <w:color w:val="7F7F7F"/>
        </w:rPr>
      </w:pPr>
      <w:r>
        <w:rPr>
          <w:i/>
          <w:color w:val="7F7F7F"/>
        </w:rPr>
        <w:t xml:space="preserve">District Youth Protection </w:t>
      </w:r>
    </w:p>
    <w:p>
      <w:pPr>
        <w:pStyle w:val="BodyText"/>
        <w:bidi w:val="0"/>
        <w:jc w:val="start"/>
        <w:rPr>
          <w:i/>
          <w:color w:val="7F7F7F"/>
        </w:rPr>
      </w:pPr>
      <w:r>
        <w:rPr>
          <w:i/>
          <w:color w:val="7F7F7F"/>
        </w:rPr>
        <w:t xml:space="preserve">Officer, Core CMT </w:t>
      </w:r>
    </w:p>
    <w:p>
      <w:pPr>
        <w:pStyle w:val="BodyText"/>
        <w:bidi w:val="0"/>
        <w:jc w:val="start"/>
        <w:rPr>
          <w:i/>
          <w:color w:val="7F7F7F"/>
        </w:rPr>
      </w:pPr>
      <w:r>
        <w:rPr>
          <w:i/>
          <w:color w:val="7F7F7F"/>
        </w:rPr>
        <w:t xml:space="preserve">6 weeks or by </w:t>
      </w:r>
    </w:p>
    <w:p>
      <w:pPr>
        <w:pStyle w:val="BodyText"/>
        <w:bidi w:val="0"/>
        <w:jc w:val="start"/>
        <w:rPr>
          <w:i/>
          <w:color w:val="7F7F7F"/>
        </w:rPr>
      </w:pPr>
      <w:r>
        <w:rPr>
          <w:i/>
          <w:color w:val="7F7F7F"/>
        </w:rPr>
        <w:t xml:space="preserve">(insert date) </w:t>
      </w:r>
    </w:p>
    <w:p>
      <w:pPr>
        <w:pStyle w:val="BodyText"/>
        <w:bidi w:val="0"/>
        <w:jc w:val="start"/>
        <w:rPr>
          <w:b/>
        </w:rPr>
      </w:pPr>
      <w:r>
        <w:rPr>
          <w:b/>
        </w:rPr>
        <w:t xml:space="preserve">Section 5 – Acknowledgements </w:t>
      </w:r>
    </w:p>
    <w:p>
      <w:pPr>
        <w:pStyle w:val="BodyText"/>
        <w:bidi w:val="0"/>
        <w:spacing w:lineRule="auto" w:line="276" w:before="0" w:after="140"/>
        <w:jc w:val="start"/>
        <w:rPr/>
      </w:pPr>
      <w:r>
        <w:rPr/>
        <w:t xml:space="preserve">The underwritten acknowledge that they have participated in the crisis debriefing and agree to </w:t>
      </w:r>
    </w:p>
    <w:p>
      <w:pPr>
        <w:pStyle w:val="BodyText"/>
        <w:bidi w:val="0"/>
        <w:spacing w:lineRule="auto" w:line="276" w:before="0" w:after="140"/>
        <w:jc w:val="start"/>
        <w:rPr/>
      </w:pPr>
      <w:r>
        <w:rPr/>
        <w:t xml:space="preserve">any follow-up actions described in Section 4. </w:t>
      </w:r>
    </w:p>
    <w:p>
      <w:pPr>
        <w:pStyle w:val="BodyText"/>
        <w:bidi w:val="0"/>
        <w:jc w:val="start"/>
        <w:rPr>
          <w:i/>
        </w:rPr>
      </w:pPr>
      <w:r>
        <w:rPr>
          <w:i/>
        </w:rPr>
        <w:t xml:space="preserve">Print name </w:t>
      </w:r>
    </w:p>
    <w:p>
      <w:pPr>
        <w:pStyle w:val="BodyText"/>
        <w:bidi w:val="0"/>
        <w:jc w:val="start"/>
        <w:rPr>
          <w:i/>
        </w:rPr>
      </w:pPr>
      <w:r>
        <w:rPr>
          <w:i/>
        </w:rPr>
        <w:t>Date</w:t>
      </w:r>
    </w:p>
    <w:p>
      <w:pPr>
        <w:pStyle w:val="BodyText"/>
        <w:bidi w:val="0"/>
        <w:jc w:val="start"/>
        <w:rPr>
          <w:i/>
        </w:rPr>
      </w:pPr>
      <w:r>
        <w:rPr>
          <w:i/>
        </w:rPr>
        <w:t xml:space="preserve">Print name </w:t>
      </w:r>
    </w:p>
    <w:p>
      <w:pPr>
        <w:pStyle w:val="BodyText"/>
        <w:bidi w:val="0"/>
        <w:jc w:val="start"/>
        <w:rPr>
          <w:i/>
        </w:rPr>
      </w:pPr>
      <w:r>
        <w:rPr>
          <w:i/>
        </w:rPr>
        <w:t>Date</w:t>
      </w:r>
    </w:p>
    <w:p>
      <w:pPr>
        <w:pStyle w:val="BodyText"/>
        <w:bidi w:val="0"/>
        <w:jc w:val="start"/>
        <w:rPr>
          <w:i/>
        </w:rPr>
      </w:pPr>
      <w:r>
        <w:rPr>
          <w:i/>
        </w:rPr>
        <w:t xml:space="preserve">Print name </w:t>
      </w:r>
    </w:p>
    <w:p>
      <w:pPr>
        <w:pStyle w:val="BodyText"/>
        <w:bidi w:val="0"/>
        <w:jc w:val="start"/>
        <w:rPr>
          <w:i/>
        </w:rPr>
      </w:pPr>
      <w:r>
        <w:rPr>
          <w:i/>
        </w:rPr>
        <w:t xml:space="preserve">Date </w:t>
      </w:r>
    </w:p>
    <w:p>
      <w:pPr>
        <w:pStyle w:val="BodyText"/>
        <w:bidi w:val="0"/>
        <w:jc w:val="start"/>
        <w:rPr>
          <w:i/>
        </w:rPr>
      </w:pPr>
      <w:r>
        <w:rPr>
          <w:i/>
        </w:rPr>
        <w:t xml:space="preserve">Print name </w:t>
      </w:r>
    </w:p>
    <w:p>
      <w:pPr>
        <w:pStyle w:val="BodyText"/>
        <w:bidi w:val="0"/>
        <w:jc w:val="start"/>
        <w:rPr>
          <w:i/>
        </w:rPr>
      </w:pPr>
      <w:r>
        <w:rPr>
          <w:i/>
        </w:rPr>
        <w:t>Date</w:t>
      </w:r>
    </w:p>
    <w:p>
      <w:pPr>
        <w:pStyle w:val="BodyText"/>
        <w:bidi w:val="0"/>
        <w:jc w:val="start"/>
        <w:rPr>
          <w:i/>
        </w:rPr>
      </w:pPr>
      <w:r>
        <w:rPr>
          <w:i/>
        </w:rPr>
        <w:t xml:space="preserve">Print name </w:t>
      </w:r>
    </w:p>
    <w:p>
      <w:pPr>
        <w:pStyle w:val="BodyText"/>
        <w:bidi w:val="0"/>
        <w:jc w:val="start"/>
        <w:rPr>
          <w:i/>
        </w:rPr>
      </w:pPr>
      <w:r>
        <w:rPr>
          <w:i/>
        </w:rPr>
        <w:t>Date</w:t>
      </w:r>
    </w:p>
    <w:p>
      <w:pPr>
        <w:pStyle w:val="BodyText"/>
        <w:bidi w:val="0"/>
        <w:jc w:val="start"/>
        <w:rPr>
          <w:i/>
        </w:rPr>
      </w:pPr>
      <w:r>
        <w:rPr>
          <w:i/>
        </w:rPr>
        <w:t xml:space="preserve">Print name </w:t>
      </w:r>
    </w:p>
    <w:p>
      <w:pPr>
        <w:pStyle w:val="BodyText"/>
        <w:bidi w:val="0"/>
        <w:jc w:val="start"/>
        <w:rPr>
          <w:i/>
        </w:rPr>
      </w:pPr>
      <w:r>
        <w:rPr>
          <w:i/>
        </w:rPr>
        <w:t xml:space="preserve">Date </w:t>
      </w:r>
    </w:p>
    <w:p>
      <w:pPr>
        <w:pStyle w:val="BodyText"/>
        <w:bidi w:val="0"/>
        <w:jc w:val="start"/>
        <w:rPr>
          <w:i/>
        </w:rPr>
      </w:pPr>
      <w:r>
        <w:rPr>
          <w:i/>
        </w:rPr>
        <w:t xml:space="preserve">Print name </w:t>
      </w:r>
    </w:p>
    <w:p>
      <w:pPr>
        <w:pStyle w:val="BodyText"/>
        <w:bidi w:val="0"/>
        <w:jc w:val="start"/>
        <w:rPr>
          <w:i/>
        </w:rPr>
      </w:pPr>
      <w:r>
        <w:rPr>
          <w:i/>
        </w:rPr>
        <w:t>Date</w:t>
      </w:r>
    </w:p>
    <w:p>
      <w:pPr>
        <w:pStyle w:val="BodyText"/>
        <w:bidi w:val="0"/>
        <w:jc w:val="start"/>
        <w:rPr>
          <w:i/>
        </w:rPr>
      </w:pPr>
      <w:r>
        <w:rPr>
          <w:i/>
        </w:rPr>
      </w:r>
      <w:r>
        <w:br w:type="page"/>
      </w:r>
    </w:p>
    <w:p>
      <w:pPr>
        <w:pStyle w:val="Title"/>
        <w:bidi w:val="0"/>
        <w:rPr/>
      </w:pPr>
      <w:bookmarkStart w:id="58" w:name="__RefHeading___Toc15173_3986215611"/>
      <w:bookmarkEnd w:id="58"/>
      <w:r>
        <w:rPr/>
        <w:t xml:space="preserve">APPENDIX </w:t>
      </w:r>
      <w:r>
        <w:rPr/>
        <w:t xml:space="preserve">C - List of </w:t>
      </w:r>
      <w:r>
        <w:rPr/>
        <w:t>Community and Government Services</w:t>
      </w:r>
    </w:p>
    <w:p>
      <w:pPr>
        <w:pStyle w:val="BodyText"/>
        <w:bidi w:val="0"/>
        <w:jc w:val="start"/>
        <w:rPr/>
      </w:pPr>
      <w:r>
        <w:rPr/>
        <w:t>T</w:t>
      </w:r>
      <w:r>
        <w:rPr>
          <w:color w:val="000000"/>
          <w:lang w:val="en-GB"/>
        </w:rPr>
        <w:t>h</w:t>
      </w:r>
      <w:r>
        <w:rPr/>
        <w:t xml:space="preserve">is list provides links to </w:t>
      </w:r>
      <w:r>
        <w:rPr/>
        <w:t xml:space="preserve">government agencies or community services </w:t>
      </w:r>
      <w:r>
        <w:rPr/>
        <w:t>that may be appropriate to provide support to an issue arising from or during a Rotary programmes or event.</w:t>
      </w:r>
    </w:p>
    <w:tbl>
      <w:tblPr>
        <w:tblW w:w="9615" w:type="dxa"/>
        <w:jc w:val="start"/>
        <w:tblInd w:w="31" w:type="dxa"/>
        <w:tblLayout w:type="fixed"/>
        <w:tblCellMar>
          <w:top w:w="55" w:type="dxa"/>
          <w:start w:w="55" w:type="dxa"/>
          <w:bottom w:w="55" w:type="dxa"/>
          <w:end w:w="55" w:type="dxa"/>
        </w:tblCellMar>
      </w:tblPr>
      <w:tblGrid>
        <w:gridCol w:w="2385"/>
        <w:gridCol w:w="2400"/>
        <w:gridCol w:w="2415"/>
        <w:gridCol w:w="2415"/>
      </w:tblGrid>
      <w:tr>
        <w:trPr>
          <w:tblHeader w:val="true"/>
        </w:trPr>
        <w:tc>
          <w:tcPr>
            <w:tcW w:w="2385" w:type="dxa"/>
            <w:tcBorders>
              <w:top w:val="single" w:sz="4" w:space="0" w:color="000000"/>
              <w:start w:val="single" w:sz="4" w:space="0" w:color="000000"/>
              <w:bottom w:val="single" w:sz="4" w:space="0" w:color="000000"/>
            </w:tcBorders>
          </w:tcPr>
          <w:p>
            <w:pPr>
              <w:pStyle w:val="TableHeading"/>
              <w:suppressLineNumbers/>
              <w:bidi w:val="0"/>
              <w:jc w:val="center"/>
              <w:rPr/>
            </w:pPr>
            <w:r>
              <w:rPr/>
              <w:t>Service Name</w:t>
            </w:r>
          </w:p>
        </w:tc>
        <w:tc>
          <w:tcPr>
            <w:tcW w:w="2400" w:type="dxa"/>
            <w:tcBorders>
              <w:top w:val="single" w:sz="4" w:space="0" w:color="000000"/>
              <w:start w:val="single" w:sz="4" w:space="0" w:color="000000"/>
              <w:bottom w:val="single" w:sz="4" w:space="0" w:color="000000"/>
            </w:tcBorders>
          </w:tcPr>
          <w:p>
            <w:pPr>
              <w:pStyle w:val="TableHeading"/>
              <w:suppressLineNumbers/>
              <w:bidi w:val="0"/>
              <w:jc w:val="center"/>
              <w:rPr/>
            </w:pPr>
            <w:r>
              <w:rPr/>
              <w:t>Description</w:t>
            </w:r>
          </w:p>
        </w:tc>
        <w:tc>
          <w:tcPr>
            <w:tcW w:w="2415" w:type="dxa"/>
            <w:tcBorders>
              <w:top w:val="single" w:sz="4" w:space="0" w:color="000000"/>
              <w:start w:val="single" w:sz="4" w:space="0" w:color="000000"/>
              <w:bottom w:val="single" w:sz="4" w:space="0" w:color="000000"/>
            </w:tcBorders>
          </w:tcPr>
          <w:p>
            <w:pPr>
              <w:pStyle w:val="TableHeading"/>
              <w:suppressLineNumbers/>
              <w:bidi w:val="0"/>
              <w:jc w:val="center"/>
              <w:rPr/>
            </w:pPr>
            <w:r>
              <w:rPr/>
              <w:t>Link</w:t>
            </w:r>
          </w:p>
        </w:tc>
        <w:tc>
          <w:tcPr>
            <w:tcW w:w="2415" w:type="dxa"/>
            <w:tcBorders>
              <w:top w:val="single" w:sz="4" w:space="0" w:color="000000"/>
              <w:start w:val="single" w:sz="4" w:space="0" w:color="000000"/>
              <w:bottom w:val="single" w:sz="4" w:space="0" w:color="000000"/>
              <w:end w:val="single" w:sz="4" w:space="0" w:color="000000"/>
            </w:tcBorders>
          </w:tcPr>
          <w:p>
            <w:pPr>
              <w:pStyle w:val="TableHeading"/>
              <w:suppressLineNumbers/>
              <w:bidi w:val="0"/>
              <w:jc w:val="center"/>
              <w:rPr/>
            </w:pPr>
            <w:r>
              <w:rPr/>
              <w:t>Phone</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Alcohol and Drug Helpline</w:t>
            </w:r>
          </w:p>
        </w:tc>
        <w:tc>
          <w:tcPr>
            <w:tcW w:w="2400" w:type="dxa"/>
            <w:tcBorders>
              <w:start w:val="single" w:sz="4" w:space="0" w:color="000000"/>
              <w:bottom w:val="single" w:sz="4" w:space="0" w:color="000000"/>
            </w:tcBorders>
          </w:tcPr>
          <w:p>
            <w:pPr>
              <w:pStyle w:val="BodyText"/>
              <w:bidi w:val="0"/>
              <w:spacing w:before="0" w:after="140"/>
              <w:jc w:val="start"/>
              <w:rPr/>
            </w:pPr>
            <w:r>
              <w:rPr/>
              <w:t>F</w:t>
            </w:r>
            <w:r>
              <w:rPr/>
              <w:t>or people dealing with an alcohol or other drug problem</w:t>
            </w:r>
          </w:p>
        </w:tc>
        <w:tc>
          <w:tcPr>
            <w:tcW w:w="2415" w:type="dxa"/>
            <w:tcBorders>
              <w:start w:val="single" w:sz="4" w:space="0" w:color="000000"/>
              <w:bottom w:val="single" w:sz="4" w:space="0" w:color="000000"/>
            </w:tcBorders>
          </w:tcPr>
          <w:p>
            <w:pPr>
              <w:pStyle w:val="BodyText"/>
              <w:bidi w:val="0"/>
              <w:spacing w:before="0" w:after="140"/>
              <w:jc w:val="start"/>
              <w:rPr/>
            </w:pPr>
            <w:hyperlink r:id="rId9">
              <w:r>
                <w:rPr>
                  <w:rStyle w:val="Hyperlink"/>
                </w:rPr>
                <w:t>Alcohol and Drug Helpline(external link</w:t>
              </w:r>
            </w:hyperlink>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 xml:space="preserve">0800 787 797 or online chat </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 xml:space="preserve">Anxiety </w:t>
            </w:r>
            <w:r>
              <w:rPr/>
              <w:t>Helpline</w:t>
            </w:r>
          </w:p>
        </w:tc>
        <w:tc>
          <w:tcPr>
            <w:tcW w:w="2400" w:type="dxa"/>
            <w:tcBorders>
              <w:start w:val="single" w:sz="4" w:space="0" w:color="000000"/>
              <w:bottom w:val="single" w:sz="4" w:space="0" w:color="000000"/>
            </w:tcBorders>
          </w:tcPr>
          <w:p>
            <w:pPr>
              <w:pStyle w:val="TableContents"/>
              <w:bidi w:val="0"/>
              <w:jc w:val="start"/>
              <w:rPr/>
            </w:pPr>
            <w:r>
              <w:rPr/>
              <w:t>Anxiety counselling</w:t>
            </w:r>
          </w:p>
        </w:tc>
        <w:tc>
          <w:tcPr>
            <w:tcW w:w="2415" w:type="dxa"/>
            <w:tcBorders>
              <w:start w:val="single" w:sz="4" w:space="0" w:color="000000"/>
              <w:bottom w:val="single" w:sz="4" w:space="0" w:color="000000"/>
            </w:tcBorders>
          </w:tcPr>
          <w:p>
            <w:pPr>
              <w:pStyle w:val="BodyText"/>
              <w:bidi w:val="0"/>
              <w:spacing w:before="0" w:after="140"/>
              <w:jc w:val="start"/>
              <w:rPr/>
            </w:pPr>
            <w:hyperlink r:id="rId10">
              <w:r>
                <w:rPr>
                  <w:rStyle w:val="Hyperlink"/>
                </w:rPr>
                <w:t>Anxiety phone line</w:t>
              </w:r>
            </w:hyperlink>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 xml:space="preserve">0800 269 4389 </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Are you OK – Family Violence(</w:t>
            </w:r>
          </w:p>
        </w:tc>
        <w:tc>
          <w:tcPr>
            <w:tcW w:w="2400" w:type="dxa"/>
            <w:tcBorders>
              <w:start w:val="single" w:sz="4" w:space="0" w:color="000000"/>
              <w:bottom w:val="single" w:sz="4" w:space="0" w:color="000000"/>
            </w:tcBorders>
          </w:tcPr>
          <w:p>
            <w:pPr>
              <w:pStyle w:val="BodyText"/>
              <w:bidi w:val="0"/>
              <w:spacing w:before="0" w:after="140"/>
              <w:jc w:val="start"/>
              <w:rPr/>
            </w:pPr>
            <w:r>
              <w:rPr/>
              <w:t>Steps and support for safety for you and your whānau whenever you’re ready</w:t>
            </w:r>
          </w:p>
        </w:tc>
        <w:tc>
          <w:tcPr>
            <w:tcW w:w="2415" w:type="dxa"/>
            <w:tcBorders>
              <w:start w:val="single" w:sz="4" w:space="0" w:color="000000"/>
              <w:bottom w:val="single" w:sz="4" w:space="0" w:color="000000"/>
            </w:tcBorders>
          </w:tcPr>
          <w:p>
            <w:pPr>
              <w:pStyle w:val="BodyText"/>
              <w:bidi w:val="0"/>
              <w:spacing w:before="0" w:after="140"/>
              <w:jc w:val="start"/>
              <w:rPr/>
            </w:pPr>
            <w:hyperlink r:id="rId11" w:tgtFrame="_blank">
              <w:r>
                <w:rPr>
                  <w:rStyle w:val="Hyperlink"/>
                </w:rPr>
                <w:t>Are you OK – Family Violence</w:t>
              </w:r>
            </w:hyperlink>
          </w:p>
        </w:tc>
        <w:tc>
          <w:tcPr>
            <w:tcW w:w="2415"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Depression Helpline</w:t>
            </w:r>
          </w:p>
        </w:tc>
        <w:tc>
          <w:tcPr>
            <w:tcW w:w="2400" w:type="dxa"/>
            <w:tcBorders>
              <w:start w:val="single" w:sz="4" w:space="0" w:color="000000"/>
              <w:bottom w:val="single" w:sz="4" w:space="0" w:color="000000"/>
            </w:tcBorders>
          </w:tcPr>
          <w:p>
            <w:pPr>
              <w:pStyle w:val="BodyText"/>
              <w:bidi w:val="0"/>
              <w:spacing w:before="0" w:after="140"/>
              <w:jc w:val="start"/>
              <w:rPr/>
            </w:pPr>
            <w:r>
              <w:rPr/>
              <w:t>T</w:t>
            </w:r>
            <w:r>
              <w:rPr/>
              <w:t>rained counsellors about how you are feeling or to ask any questions)</w:t>
            </w:r>
          </w:p>
        </w:tc>
        <w:tc>
          <w:tcPr>
            <w:tcW w:w="2415" w:type="dxa"/>
            <w:tcBorders>
              <w:start w:val="single" w:sz="4" w:space="0" w:color="000000"/>
              <w:bottom w:val="single" w:sz="4" w:space="0" w:color="000000"/>
            </w:tcBorders>
          </w:tcPr>
          <w:p>
            <w:pPr>
              <w:pStyle w:val="BodyText"/>
              <w:bidi w:val="0"/>
              <w:spacing w:before="0" w:after="140"/>
              <w:jc w:val="start"/>
              <w:rPr/>
            </w:pPr>
            <w:hyperlink r:id="rId12">
              <w:r>
                <w:rPr>
                  <w:rStyle w:val="Hyperlink"/>
                </w:rPr>
                <w:t>Depression Helpline(external link)</w:t>
              </w:r>
            </w:hyperlink>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0800 111 757 or free text 4202</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Family Services 211 Helpline</w:t>
            </w:r>
          </w:p>
        </w:tc>
        <w:tc>
          <w:tcPr>
            <w:tcW w:w="2400" w:type="dxa"/>
            <w:tcBorders>
              <w:start w:val="single" w:sz="4" w:space="0" w:color="000000"/>
              <w:bottom w:val="single" w:sz="4" w:space="0" w:color="000000"/>
            </w:tcBorders>
          </w:tcPr>
          <w:p>
            <w:pPr>
              <w:pStyle w:val="BodyText"/>
              <w:bidi w:val="0"/>
              <w:spacing w:before="0" w:after="140"/>
              <w:jc w:val="start"/>
              <w:rPr/>
            </w:pPr>
            <w:r>
              <w:rPr/>
              <w:t>F</w:t>
            </w:r>
            <w:r>
              <w:rPr/>
              <w:t>or help finding (and direct transfer to) community based health and social support services in your area.</w:t>
            </w:r>
          </w:p>
        </w:tc>
        <w:tc>
          <w:tcPr>
            <w:tcW w:w="2415" w:type="dxa"/>
            <w:tcBorders>
              <w:start w:val="single" w:sz="4" w:space="0" w:color="000000"/>
              <w:bottom w:val="single" w:sz="4" w:space="0" w:color="000000"/>
            </w:tcBorders>
          </w:tcPr>
          <w:p>
            <w:pPr>
              <w:pStyle w:val="BodyText"/>
              <w:bidi w:val="0"/>
              <w:spacing w:before="0" w:after="140"/>
              <w:jc w:val="start"/>
              <w:rPr/>
            </w:pPr>
            <w:hyperlink r:id="rId13">
              <w:r>
                <w:rPr>
                  <w:rStyle w:val="Hyperlink"/>
                </w:rPr>
                <w:t>Family Services 211 Helpline(external link)</w:t>
              </w:r>
            </w:hyperlink>
            <w:r>
              <w:rPr/>
              <w:t> </w:t>
            </w:r>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0800 211 211</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Lifeline(external link)</w:t>
            </w:r>
          </w:p>
        </w:tc>
        <w:tc>
          <w:tcPr>
            <w:tcW w:w="2400" w:type="dxa"/>
            <w:tcBorders>
              <w:start w:val="single" w:sz="4" w:space="0" w:color="000000"/>
              <w:bottom w:val="single" w:sz="4" w:space="0" w:color="000000"/>
            </w:tcBorders>
          </w:tcPr>
          <w:p>
            <w:pPr>
              <w:pStyle w:val="BodyText"/>
              <w:bidi w:val="0"/>
              <w:spacing w:before="0" w:after="140"/>
              <w:jc w:val="start"/>
              <w:rPr/>
            </w:pPr>
            <w:r>
              <w:rPr/>
              <w:t>Support for people at risk of harming themselves</w:t>
            </w:r>
          </w:p>
        </w:tc>
        <w:tc>
          <w:tcPr>
            <w:tcW w:w="2415" w:type="dxa"/>
            <w:tcBorders>
              <w:start w:val="single" w:sz="4" w:space="0" w:color="000000"/>
              <w:bottom w:val="single" w:sz="4" w:space="0" w:color="000000"/>
            </w:tcBorders>
          </w:tcPr>
          <w:p>
            <w:pPr>
              <w:pStyle w:val="BodyText"/>
              <w:bidi w:val="0"/>
              <w:spacing w:before="0" w:after="140"/>
              <w:jc w:val="start"/>
              <w:rPr/>
            </w:pPr>
            <w:hyperlink r:id="rId14">
              <w:r>
                <w:rPr>
                  <w:rStyle w:val="Hyperlink"/>
                </w:rPr>
                <w:t>Lifeline(external link)</w:t>
              </w:r>
            </w:hyperlink>
          </w:p>
        </w:tc>
        <w:tc>
          <w:tcPr>
            <w:tcW w:w="2415"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t xml:space="preserve"> </w:t>
            </w:r>
            <w:r>
              <w:rPr/>
              <w:t>0800 543 354 (0800 LIFELINE) or free text 4357 (HELP)</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Male Survivors of Sexual Abuse Aotearoa New Zealand</w:t>
            </w:r>
          </w:p>
        </w:tc>
        <w:tc>
          <w:tcPr>
            <w:tcW w:w="2400" w:type="dxa"/>
            <w:tcBorders>
              <w:start w:val="single" w:sz="4" w:space="0" w:color="000000"/>
              <w:bottom w:val="single" w:sz="4" w:space="0" w:color="000000"/>
            </w:tcBorders>
          </w:tcPr>
          <w:p>
            <w:pPr>
              <w:pStyle w:val="TableContents"/>
              <w:bidi w:val="0"/>
              <w:jc w:val="start"/>
              <w:rPr/>
            </w:pPr>
            <w:r>
              <w:rPr/>
              <w:t>Support for males that may have suffered sexual abuse</w:t>
            </w:r>
          </w:p>
        </w:tc>
        <w:tc>
          <w:tcPr>
            <w:tcW w:w="2415" w:type="dxa"/>
            <w:tcBorders>
              <w:start w:val="single" w:sz="4" w:space="0" w:color="000000"/>
              <w:bottom w:val="single" w:sz="4" w:space="0" w:color="000000"/>
            </w:tcBorders>
          </w:tcPr>
          <w:p>
            <w:pPr>
              <w:pStyle w:val="BodyText"/>
              <w:bidi w:val="0"/>
              <w:spacing w:before="0" w:after="140"/>
              <w:jc w:val="start"/>
              <w:rPr/>
            </w:pPr>
            <w:hyperlink r:id="rId15">
              <w:r>
                <w:rPr>
                  <w:rStyle w:val="Hyperlink"/>
                </w:rPr>
                <w:t>Male Survivors of Sexual Abuse Aotearoa New Zealand(external link)</w:t>
              </w:r>
            </w:hyperlink>
          </w:p>
        </w:tc>
        <w:tc>
          <w:tcPr>
            <w:tcW w:w="2415"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OUTline NZ</w:t>
            </w:r>
          </w:p>
        </w:tc>
        <w:tc>
          <w:tcPr>
            <w:tcW w:w="2400" w:type="dxa"/>
            <w:tcBorders>
              <w:start w:val="single" w:sz="4" w:space="0" w:color="000000"/>
              <w:bottom w:val="single" w:sz="4" w:space="0" w:color="000000"/>
            </w:tcBorders>
          </w:tcPr>
          <w:p>
            <w:pPr>
              <w:pStyle w:val="BodyText"/>
              <w:bidi w:val="0"/>
              <w:spacing w:before="0" w:after="140"/>
              <w:jc w:val="start"/>
              <w:rPr/>
            </w:pPr>
            <w:r>
              <w:rPr/>
              <w:t>P</w:t>
            </w:r>
            <w:r>
              <w:rPr/>
              <w:t>rovides confidential telephone support for sexuality or gender identity issues; 9 am to 9 pm weekdays, and 6 pm to 8 pm weekends)</w:t>
            </w:r>
          </w:p>
        </w:tc>
        <w:tc>
          <w:tcPr>
            <w:tcW w:w="2415" w:type="dxa"/>
            <w:tcBorders>
              <w:start w:val="single" w:sz="4" w:space="0" w:color="000000"/>
              <w:bottom w:val="single" w:sz="4" w:space="0" w:color="000000"/>
            </w:tcBorders>
          </w:tcPr>
          <w:p>
            <w:pPr>
              <w:pStyle w:val="BodyText"/>
              <w:bidi w:val="0"/>
              <w:spacing w:before="0" w:after="140"/>
              <w:jc w:val="start"/>
              <w:rPr/>
            </w:pPr>
            <w:hyperlink r:id="rId16">
              <w:r>
                <w:rPr>
                  <w:rStyle w:val="Hyperlink"/>
                </w:rPr>
                <w:t>OUTline NZ(external link)</w:t>
              </w:r>
            </w:hyperlink>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 xml:space="preserve"> </w:t>
            </w:r>
            <w:r>
              <w:rPr/>
              <w:t>0800 688 546</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Rape Crisis</w:t>
            </w:r>
          </w:p>
        </w:tc>
        <w:tc>
          <w:tcPr>
            <w:tcW w:w="2400" w:type="dxa"/>
            <w:tcBorders>
              <w:start w:val="single" w:sz="4" w:space="0" w:color="000000"/>
              <w:bottom w:val="single" w:sz="4" w:space="0" w:color="000000"/>
            </w:tcBorders>
          </w:tcPr>
          <w:p>
            <w:pPr>
              <w:pStyle w:val="BodyText"/>
              <w:bidi w:val="0"/>
              <w:spacing w:before="0" w:after="140"/>
              <w:jc w:val="start"/>
              <w:rPr/>
            </w:pPr>
            <w:r>
              <w:rPr/>
              <w:t>S</w:t>
            </w:r>
            <w:r>
              <w:rPr/>
              <w:t>upport after rape or sexual assault</w:t>
            </w:r>
          </w:p>
        </w:tc>
        <w:tc>
          <w:tcPr>
            <w:tcW w:w="2415" w:type="dxa"/>
            <w:tcBorders>
              <w:start w:val="single" w:sz="4" w:space="0" w:color="000000"/>
              <w:bottom w:val="single" w:sz="4" w:space="0" w:color="000000"/>
            </w:tcBorders>
          </w:tcPr>
          <w:p>
            <w:pPr>
              <w:pStyle w:val="BodyText"/>
              <w:bidi w:val="0"/>
              <w:spacing w:before="0" w:after="140"/>
              <w:jc w:val="start"/>
              <w:rPr/>
            </w:pPr>
            <w:hyperlink r:id="rId17">
              <w:r>
                <w:rPr>
                  <w:rStyle w:val="Hyperlink"/>
                </w:rPr>
                <w:t>Rape Crisis(external link)</w:t>
              </w:r>
            </w:hyperlink>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0800 883 300</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Safe to talk</w:t>
            </w:r>
          </w:p>
        </w:tc>
        <w:tc>
          <w:tcPr>
            <w:tcW w:w="2400" w:type="dxa"/>
            <w:tcBorders>
              <w:start w:val="single" w:sz="4" w:space="0" w:color="000000"/>
              <w:bottom w:val="single" w:sz="4" w:space="0" w:color="000000"/>
            </w:tcBorders>
          </w:tcPr>
          <w:p>
            <w:pPr>
              <w:pStyle w:val="BodyText"/>
              <w:bidi w:val="0"/>
              <w:spacing w:before="0" w:after="140"/>
              <w:jc w:val="start"/>
              <w:rPr/>
            </w:pPr>
            <w:r>
              <w:rPr/>
              <w:t>(Available 24/7), Free and confidential information and support from trained counsellors for people affected by sexual harm in any way.</w:t>
            </w:r>
          </w:p>
        </w:tc>
        <w:tc>
          <w:tcPr>
            <w:tcW w:w="2415" w:type="dxa"/>
            <w:tcBorders>
              <w:start w:val="single" w:sz="4" w:space="0" w:color="000000"/>
              <w:bottom w:val="single" w:sz="4" w:space="0" w:color="000000"/>
            </w:tcBorders>
          </w:tcPr>
          <w:p>
            <w:pPr>
              <w:pStyle w:val="BodyText"/>
              <w:bidi w:val="0"/>
              <w:spacing w:before="0" w:after="140"/>
              <w:jc w:val="start"/>
              <w:rPr/>
            </w:pPr>
            <w:hyperlink r:id="rId18">
              <w:r>
                <w:rPr>
                  <w:rStyle w:val="Hyperlink"/>
                </w:rPr>
                <w:t>Safe to talk(external link)</w:t>
              </w:r>
            </w:hyperlink>
          </w:p>
        </w:tc>
        <w:tc>
          <w:tcPr>
            <w:tcW w:w="2415" w:type="dxa"/>
            <w:tcBorders>
              <w:start w:val="single" w:sz="4" w:space="0" w:color="000000"/>
              <w:bottom w:val="single" w:sz="4" w:space="0" w:color="000000"/>
              <w:end w:val="single" w:sz="4" w:space="0" w:color="000000"/>
            </w:tcBorders>
          </w:tcPr>
          <w:p>
            <w:pPr>
              <w:pStyle w:val="BodyText"/>
              <w:bidi w:val="0"/>
              <w:jc w:val="start"/>
              <w:rPr/>
            </w:pPr>
            <w:r>
              <w:rPr/>
              <w:t>0800 044 334, free txt 4334</w:t>
            </w:r>
          </w:p>
          <w:p>
            <w:pPr>
              <w:pStyle w:val="BodyText"/>
              <w:bidi w:val="0"/>
              <w:spacing w:before="0" w:after="140"/>
              <w:jc w:val="start"/>
              <w:rPr/>
            </w:pPr>
            <w:r>
              <w:rPr/>
              <w:t xml:space="preserve">email support@safetotalk.nz </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Victim Support</w:t>
            </w:r>
          </w:p>
        </w:tc>
        <w:tc>
          <w:tcPr>
            <w:tcW w:w="2400" w:type="dxa"/>
            <w:tcBorders>
              <w:start w:val="single" w:sz="4" w:space="0" w:color="000000"/>
              <w:bottom w:val="single" w:sz="4" w:space="0" w:color="000000"/>
            </w:tcBorders>
          </w:tcPr>
          <w:p>
            <w:pPr>
              <w:pStyle w:val="BodyText"/>
              <w:bidi w:val="0"/>
              <w:spacing w:before="0" w:after="140"/>
              <w:jc w:val="start"/>
              <w:rPr/>
            </w:pPr>
            <w:r>
              <w:rPr/>
              <w:t xml:space="preserve">This free </w:t>
            </w:r>
            <w:r>
              <w:rPr/>
              <w:t xml:space="preserve">Government </w:t>
            </w:r>
            <w:r>
              <w:rPr/>
              <w:t>service provides emotional and practical support, information, financial assistance, referral to other support services and advocacy for the rights of victims.</w:t>
            </w:r>
          </w:p>
        </w:tc>
        <w:tc>
          <w:tcPr>
            <w:tcW w:w="2415" w:type="dxa"/>
            <w:tcBorders>
              <w:start w:val="single" w:sz="4" w:space="0" w:color="000000"/>
              <w:bottom w:val="single" w:sz="4" w:space="0" w:color="000000"/>
            </w:tcBorders>
          </w:tcPr>
          <w:p>
            <w:pPr>
              <w:pStyle w:val="BodyText"/>
              <w:bidi w:val="0"/>
              <w:spacing w:before="0" w:after="140"/>
              <w:jc w:val="start"/>
              <w:rPr/>
            </w:pPr>
            <w:hyperlink r:id="rId19">
              <w:r>
                <w:rPr>
                  <w:rStyle w:val="Hyperlink"/>
                </w:rPr>
                <w:t>Victim Support(external link)</w:t>
              </w:r>
            </w:hyperlink>
          </w:p>
        </w:tc>
        <w:tc>
          <w:tcPr>
            <w:tcW w:w="2415"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rHeight w:val="1040" w:hRule="atLeast"/>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The LowDown</w:t>
            </w:r>
          </w:p>
        </w:tc>
        <w:tc>
          <w:tcPr>
            <w:tcW w:w="2400" w:type="dxa"/>
            <w:tcBorders>
              <w:start w:val="single" w:sz="4" w:space="0" w:color="000000"/>
              <w:bottom w:val="single" w:sz="4" w:space="0" w:color="000000"/>
            </w:tcBorders>
          </w:tcPr>
          <w:p>
            <w:pPr>
              <w:pStyle w:val="BodyText"/>
              <w:bidi w:val="0"/>
              <w:spacing w:before="0" w:after="140"/>
              <w:jc w:val="start"/>
              <w:rPr/>
            </w:pPr>
            <w:r>
              <w:rPr/>
              <w:t>A space created a space created with rangatahi, for rangatahi. Find support here for your hauora, identity, culture and mental health</w:t>
            </w:r>
          </w:p>
        </w:tc>
        <w:tc>
          <w:tcPr>
            <w:tcW w:w="2415" w:type="dxa"/>
            <w:tcBorders>
              <w:start w:val="single" w:sz="4" w:space="0" w:color="000000"/>
              <w:bottom w:val="single" w:sz="4" w:space="0" w:color="000000"/>
            </w:tcBorders>
          </w:tcPr>
          <w:p>
            <w:pPr>
              <w:pStyle w:val="BodyText"/>
              <w:bidi w:val="0"/>
              <w:spacing w:before="0" w:after="140"/>
              <w:jc w:val="start"/>
              <w:rPr/>
            </w:pPr>
            <w:hyperlink r:id="rId20" w:tgtFrame="_blank">
              <w:r>
                <w:rPr>
                  <w:rStyle w:val="Hyperlink"/>
                </w:rPr>
                <w:t>The LowDown</w:t>
              </w:r>
            </w:hyperlink>
          </w:p>
        </w:tc>
        <w:tc>
          <w:tcPr>
            <w:tcW w:w="2415"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Skylight(external link)</w:t>
            </w:r>
          </w:p>
        </w:tc>
        <w:tc>
          <w:tcPr>
            <w:tcW w:w="2400" w:type="dxa"/>
            <w:tcBorders>
              <w:start w:val="single" w:sz="4" w:space="0" w:color="000000"/>
              <w:bottom w:val="single" w:sz="4" w:space="0" w:color="000000"/>
            </w:tcBorders>
          </w:tcPr>
          <w:p>
            <w:pPr>
              <w:pStyle w:val="BodyText"/>
              <w:bidi w:val="0"/>
              <w:spacing w:before="0" w:after="140"/>
              <w:jc w:val="start"/>
              <w:rPr/>
            </w:pPr>
            <w:r>
              <w:rPr/>
              <w:t>F</w:t>
            </w:r>
            <w:r>
              <w:rPr/>
              <w:t>or trauma, loss and grief; 9am–5pm weekdays</w:t>
            </w:r>
          </w:p>
        </w:tc>
        <w:tc>
          <w:tcPr>
            <w:tcW w:w="2415" w:type="dxa"/>
            <w:tcBorders>
              <w:start w:val="single" w:sz="4" w:space="0" w:color="000000"/>
              <w:bottom w:val="single" w:sz="4" w:space="0" w:color="000000"/>
            </w:tcBorders>
          </w:tcPr>
          <w:p>
            <w:pPr>
              <w:pStyle w:val="BodyText"/>
              <w:bidi w:val="0"/>
              <w:spacing w:before="0" w:after="140"/>
              <w:jc w:val="start"/>
              <w:rPr/>
            </w:pPr>
            <w:hyperlink r:id="rId21">
              <w:r>
                <w:rPr>
                  <w:rStyle w:val="Hyperlink"/>
                </w:rPr>
                <w:t>Skylight(external link)</w:t>
              </w:r>
            </w:hyperlink>
          </w:p>
        </w:tc>
        <w:tc>
          <w:tcPr>
            <w:tcW w:w="2415" w:type="dxa"/>
            <w:tcBorders>
              <w:start w:val="single" w:sz="4" w:space="0" w:color="000000"/>
              <w:bottom w:val="single" w:sz="4" w:space="0" w:color="000000"/>
              <w:end w:val="single" w:sz="4" w:space="0" w:color="000000"/>
            </w:tcBorders>
          </w:tcPr>
          <w:p>
            <w:pPr>
              <w:pStyle w:val="BodyText"/>
              <w:bidi w:val="0"/>
              <w:spacing w:before="0" w:after="140"/>
              <w:jc w:val="start"/>
              <w:rPr/>
            </w:pPr>
            <w:r>
              <w:rPr/>
              <w:t>0800 299 100</w:t>
            </w:r>
          </w:p>
        </w:tc>
      </w:tr>
      <w:tr>
        <w:trPr/>
        <w:tc>
          <w:tcPr>
            <w:tcW w:w="2385" w:type="dxa"/>
            <w:tcBorders>
              <w:start w:val="single" w:sz="4" w:space="0" w:color="000000"/>
              <w:bottom w:val="single" w:sz="4" w:space="0" w:color="000000"/>
            </w:tcBorders>
          </w:tcPr>
          <w:p>
            <w:pPr>
              <w:pStyle w:val="TableContents"/>
              <w:widowControl w:val="false"/>
              <w:suppressLineNumbers/>
              <w:bidi w:val="0"/>
              <w:jc w:val="start"/>
              <w:rPr/>
            </w:pPr>
            <w:r>
              <w:rPr/>
              <w:t>Ministry of Health</w:t>
            </w:r>
          </w:p>
        </w:tc>
        <w:tc>
          <w:tcPr>
            <w:tcW w:w="2400" w:type="dxa"/>
            <w:tcBorders>
              <w:start w:val="single" w:sz="4" w:space="0" w:color="000000"/>
              <w:bottom w:val="single" w:sz="4" w:space="0" w:color="000000"/>
            </w:tcBorders>
          </w:tcPr>
          <w:p>
            <w:pPr>
              <w:pStyle w:val="BodyText"/>
              <w:bidi w:val="0"/>
              <w:spacing w:before="0" w:after="140"/>
              <w:jc w:val="start"/>
              <w:rPr/>
            </w:pPr>
            <w:r>
              <w:rPr/>
              <w:t>For more digital tools and resources</w:t>
            </w:r>
          </w:p>
        </w:tc>
        <w:tc>
          <w:tcPr>
            <w:tcW w:w="2415" w:type="dxa"/>
            <w:tcBorders>
              <w:start w:val="single" w:sz="4" w:space="0" w:color="000000"/>
              <w:bottom w:val="single" w:sz="4" w:space="0" w:color="000000"/>
            </w:tcBorders>
          </w:tcPr>
          <w:p>
            <w:pPr>
              <w:pStyle w:val="BodyText"/>
              <w:bidi w:val="0"/>
              <w:spacing w:before="0" w:after="140"/>
              <w:jc w:val="start"/>
              <w:rPr/>
            </w:pPr>
            <w:hyperlink r:id="rId22" w:tgtFrame="_blank">
              <w:r>
                <w:rPr>
                  <w:rStyle w:val="Hyperlink"/>
                </w:rPr>
                <w:t>Ministry of Health(external link)</w:t>
              </w:r>
            </w:hyperlink>
            <w:r>
              <w:rPr/>
              <w:t xml:space="preserve"> </w:t>
            </w:r>
          </w:p>
        </w:tc>
        <w:tc>
          <w:tcPr>
            <w:tcW w:w="2415" w:type="dxa"/>
            <w:tcBorders>
              <w:start w:val="single" w:sz="4" w:space="0" w:color="000000"/>
              <w:bottom w:val="single" w:sz="4" w:space="0" w:color="000000"/>
              <w:end w:val="single" w:sz="4" w:space="0" w:color="000000"/>
            </w:tcBorders>
          </w:tcPr>
          <w:p>
            <w:pPr>
              <w:pStyle w:val="TableContents"/>
              <w:widowControl w:val="false"/>
              <w:suppressLineNumbers/>
              <w:bidi w:val="0"/>
              <w:jc w:val="start"/>
              <w:rPr/>
            </w:pPr>
            <w:r>
              <w:rPr/>
            </w:r>
          </w:p>
        </w:tc>
      </w:tr>
    </w:tbl>
    <w:p>
      <w:pPr>
        <w:pStyle w:val="BodyText"/>
        <w:bidi w:val="0"/>
        <w:jc w:val="start"/>
        <w:rPr/>
      </w:pPr>
      <w:r>
        <w:rPr/>
      </w:r>
    </w:p>
    <w:p>
      <w:pPr>
        <w:pStyle w:val="Heading4"/>
        <w:bidi w:val="0"/>
        <w:ind w:hanging="0" w:start="0"/>
        <w:jc w:val="start"/>
        <w:rPr/>
      </w:pPr>
      <w:r>
        <w:rPr/>
        <w:t>END OF DOCUMENT</w:t>
      </w:r>
      <w:r>
        <w:rPr/>
        <w:t xml:space="preserve"> </w:t>
      </w:r>
    </w:p>
    <w:p>
      <w:pPr>
        <w:pStyle w:val="BodyText"/>
        <w:bidi w:val="0"/>
        <w:spacing w:before="0" w:after="140"/>
        <w:jc w:val="start"/>
        <w:rPr/>
      </w:pPr>
      <w:r>
        <w:rPr/>
      </w:r>
    </w:p>
    <w:sectPr>
      <w:headerReference w:type="default" r:id="rId23"/>
      <w:footerReference w:type="default" r:id="rId24"/>
      <w:footnotePr>
        <w:numFmt w:val="decimal"/>
      </w:footnotePr>
      <w:type w:val="nextPage"/>
      <w:pgSz w:w="11906" w:h="16838"/>
      <w:pgMar w:left="1134" w:right="1134" w:gutter="0" w:header="1134" w:top="3211" w:footer="1134" w:bottom="170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characterSet="utf-8"/>
    <w:family w:val="swiss"/>
    <w:pitch w:val="variable"/>
  </w:font>
  <w:font w:name="Tahoma">
    <w:charset w:val="01" w:characterSet="utf-8"/>
    <w:family w:val="swiss"/>
    <w:pitch w:val="variable"/>
  </w:font>
  <w:font w:name="OpenSymbol">
    <w:altName w:val="Arial Unicode MS"/>
    <w:charset w:val="02"/>
    <w:family w:val="auto"/>
    <w:pitch w:val="default"/>
  </w:font>
  <w:font w:name="Tahoma">
    <w:charset w:val="01" w:characterSet="utf-8"/>
    <w:family w:val="swiss"/>
    <w:pitch w:val="default"/>
  </w:font>
  <w:font w:name="Liberation Sans">
    <w:altName w:val="Arial"/>
    <w:charset w:val="01" w:characterSet="utf-8"/>
    <w:family w:val="swiss"/>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fldChar w:fldCharType="begin"/>
    </w:r>
    <w:r>
      <w:rPr/>
      <w:instrText xml:space="preserve"> PAGE </w:instrText>
    </w:r>
    <w:r>
      <w:rPr/>
      <w:fldChar w:fldCharType="separate"/>
    </w:r>
    <w:r>
      <w:rPr/>
      <w:t>27</w:t>
    </w:r>
    <w:r>
      <w:rPr/>
      <w:fldChar w:fldCharType="end"/>
    </w:r>
    <w:r>
      <w:rPr/>
      <w:t xml:space="preserve"> </w:t>
    </w:r>
    <w:r>
      <w:rPr/>
      <w:t xml:space="preserve">of </w:t>
    </w:r>
    <w:r>
      <w:rPr/>
      <w:fldChar w:fldCharType="begin"/>
    </w:r>
    <w:r>
      <w:rPr/>
      <w:instrText xml:space="preserve"> NUMPAGES </w:instrText>
    </w:r>
    <w:r>
      <w:rPr/>
      <w:fldChar w:fldCharType="separate"/>
    </w:r>
    <w:r>
      <w:rPr/>
      <w:t>27</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uppressLineNumbers/>
        <w:bidi w:val="0"/>
        <w:ind w:hanging="340" w:start="340" w:end="0"/>
        <w:jc w:val="start"/>
        <w:rPr/>
      </w:pPr>
      <w:r>
        <w:rPr>
          <w:rStyle w:val="FootnoteCharacters"/>
        </w:rPr>
        <w:footnoteRef/>
      </w:r>
      <w:r>
        <w:rPr/>
        <w:tab/>
        <w:t xml:space="preserve">From the Zone 8 Institute Rules </w:t>
      </w:r>
      <w:r>
        <w:rPr/>
        <w:t>“</w:t>
      </w:r>
      <w:r>
        <w:rPr>
          <w:w w:val="105"/>
        </w:rPr>
        <w:t>The</w:t>
      </w:r>
      <w:r>
        <w:rPr>
          <w:spacing w:val="-5"/>
          <w:w w:val="105"/>
        </w:rPr>
        <w:t xml:space="preserve"> </w:t>
      </w:r>
      <w:r>
        <w:rPr>
          <w:spacing w:val="-1"/>
          <w:w w:val="105"/>
        </w:rPr>
        <w:t>President</w:t>
      </w:r>
      <w:r>
        <w:rPr>
          <w:spacing w:val="-5"/>
          <w:w w:val="105"/>
        </w:rPr>
        <w:t xml:space="preserve"> </w:t>
      </w:r>
      <w:r>
        <w:rPr>
          <w:w w:val="105"/>
        </w:rPr>
        <w:t>of</w:t>
      </w:r>
      <w:r>
        <w:rPr>
          <w:spacing w:val="-5"/>
          <w:w w:val="105"/>
        </w:rPr>
        <w:t xml:space="preserve"> </w:t>
      </w:r>
      <w:r>
        <w:rPr>
          <w:w w:val="105"/>
        </w:rPr>
        <w:t>RI</w:t>
      </w:r>
      <w:r>
        <w:rPr>
          <w:spacing w:val="-5"/>
          <w:w w:val="105"/>
        </w:rPr>
        <w:t xml:space="preserve"> </w:t>
      </w:r>
      <w:r>
        <w:rPr>
          <w:w w:val="105"/>
        </w:rPr>
        <w:t>each</w:t>
      </w:r>
      <w:r>
        <w:rPr>
          <w:spacing w:val="-4"/>
          <w:w w:val="105"/>
        </w:rPr>
        <w:t xml:space="preserve"> </w:t>
      </w:r>
      <w:r>
        <w:rPr>
          <w:w w:val="105"/>
        </w:rPr>
        <w:t>year</w:t>
      </w:r>
      <w:r>
        <w:rPr>
          <w:spacing w:val="-5"/>
          <w:w w:val="105"/>
        </w:rPr>
        <w:t xml:space="preserve"> </w:t>
      </w:r>
      <w:r>
        <w:rPr>
          <w:spacing w:val="-1"/>
          <w:w w:val="105"/>
        </w:rPr>
        <w:t>appoints</w:t>
      </w:r>
      <w:r>
        <w:rPr>
          <w:spacing w:val="-5"/>
          <w:w w:val="105"/>
        </w:rPr>
        <w:t xml:space="preserve"> </w:t>
      </w:r>
      <w:r>
        <w:rPr>
          <w:w w:val="105"/>
        </w:rPr>
        <w:t>a</w:t>
      </w:r>
      <w:r>
        <w:rPr>
          <w:spacing w:val="-5"/>
          <w:w w:val="105"/>
        </w:rPr>
        <w:t xml:space="preserve"> </w:t>
      </w:r>
      <w:r>
        <w:rPr>
          <w:w w:val="105"/>
        </w:rPr>
        <w:t>convener</w:t>
      </w:r>
      <w:r>
        <w:rPr>
          <w:spacing w:val="-4"/>
          <w:w w:val="105"/>
        </w:rPr>
        <w:t xml:space="preserve"> </w:t>
      </w:r>
      <w:r>
        <w:rPr>
          <w:spacing w:val="-1"/>
          <w:w w:val="105"/>
        </w:rPr>
        <w:t>for</w:t>
      </w:r>
      <w:r>
        <w:rPr>
          <w:spacing w:val="29"/>
          <w:w w:val="104"/>
        </w:rPr>
        <w:t xml:space="preserve"> </w:t>
      </w:r>
      <w:r>
        <w:rPr>
          <w:spacing w:val="-1"/>
          <w:w w:val="105"/>
        </w:rPr>
        <w:t>the</w:t>
      </w:r>
      <w:r>
        <w:rPr>
          <w:spacing w:val="-6"/>
          <w:w w:val="105"/>
        </w:rPr>
        <w:t xml:space="preserve"> </w:t>
      </w:r>
      <w:r>
        <w:rPr>
          <w:spacing w:val="-1"/>
          <w:w w:val="105"/>
        </w:rPr>
        <w:t>Institute</w:t>
      </w:r>
      <w:r>
        <w:rPr>
          <w:spacing w:val="-5"/>
          <w:w w:val="105"/>
        </w:rPr>
        <w:t xml:space="preserve"> </w:t>
      </w:r>
      <w:r>
        <w:rPr>
          <w:w w:val="105"/>
        </w:rPr>
        <w:t>who</w:t>
      </w:r>
      <w:r>
        <w:rPr>
          <w:spacing w:val="-5"/>
          <w:w w:val="105"/>
        </w:rPr>
        <w:t xml:space="preserve"> </w:t>
      </w:r>
      <w:r>
        <w:rPr>
          <w:spacing w:val="-1"/>
          <w:w w:val="105"/>
        </w:rPr>
        <w:t>is</w:t>
      </w:r>
      <w:r>
        <w:rPr>
          <w:spacing w:val="-6"/>
          <w:w w:val="105"/>
        </w:rPr>
        <w:t xml:space="preserve"> </w:t>
      </w:r>
      <w:r>
        <w:rPr>
          <w:spacing w:val="-1"/>
          <w:w w:val="105"/>
        </w:rPr>
        <w:t>usually</w:t>
      </w:r>
      <w:r>
        <w:rPr>
          <w:spacing w:val="-5"/>
          <w:w w:val="105"/>
        </w:rPr>
        <w:t xml:space="preserve"> </w:t>
      </w:r>
      <w:r>
        <w:rPr>
          <w:spacing w:val="-1"/>
          <w:w w:val="105"/>
        </w:rPr>
        <w:t>the</w:t>
      </w:r>
      <w:r>
        <w:rPr>
          <w:spacing w:val="-5"/>
          <w:w w:val="105"/>
        </w:rPr>
        <w:t xml:space="preserve"> </w:t>
      </w:r>
      <w:r>
        <w:rPr>
          <w:spacing w:val="-1"/>
          <w:w w:val="105"/>
        </w:rPr>
        <w:t>Director.</w:t>
      </w:r>
      <w:r>
        <w:rPr>
          <w:spacing w:val="-6"/>
          <w:w w:val="105"/>
        </w:rPr>
        <w:t xml:space="preserve"> </w:t>
      </w:r>
      <w:r>
        <w:rPr>
          <w:w w:val="105"/>
        </w:rPr>
        <w:t>The</w:t>
      </w:r>
      <w:r>
        <w:rPr>
          <w:spacing w:val="-5"/>
          <w:w w:val="105"/>
        </w:rPr>
        <w:t xml:space="preserve"> </w:t>
      </w:r>
      <w:r>
        <w:rPr>
          <w:w w:val="105"/>
        </w:rPr>
        <w:t>convener</w:t>
      </w:r>
      <w:r>
        <w:rPr>
          <w:spacing w:val="35"/>
          <w:w w:val="104"/>
        </w:rPr>
        <w:t xml:space="preserve"> </w:t>
      </w:r>
      <w:r>
        <w:rPr>
          <w:w w:val="105"/>
        </w:rPr>
        <w:t>has</w:t>
      </w:r>
      <w:r>
        <w:rPr>
          <w:spacing w:val="-5"/>
          <w:w w:val="105"/>
        </w:rPr>
        <w:t xml:space="preserve"> </w:t>
      </w:r>
      <w:r>
        <w:rPr>
          <w:spacing w:val="-1"/>
          <w:w w:val="105"/>
        </w:rPr>
        <w:t>full</w:t>
      </w:r>
      <w:r>
        <w:rPr>
          <w:spacing w:val="-5"/>
          <w:w w:val="105"/>
        </w:rPr>
        <w:t xml:space="preserve"> </w:t>
      </w:r>
      <w:r>
        <w:rPr>
          <w:spacing w:val="-1"/>
          <w:w w:val="105"/>
        </w:rPr>
        <w:t>responsibility</w:t>
      </w:r>
      <w:r>
        <w:rPr>
          <w:spacing w:val="-5"/>
          <w:w w:val="105"/>
        </w:rPr>
        <w:t xml:space="preserve"> </w:t>
      </w:r>
      <w:r>
        <w:rPr>
          <w:spacing w:val="-1"/>
          <w:w w:val="105"/>
        </w:rPr>
        <w:t>for</w:t>
      </w:r>
      <w:r>
        <w:rPr>
          <w:spacing w:val="-4"/>
          <w:w w:val="105"/>
        </w:rPr>
        <w:t xml:space="preserve"> </w:t>
      </w:r>
      <w:r>
        <w:rPr>
          <w:spacing w:val="-1"/>
          <w:w w:val="105"/>
        </w:rPr>
        <w:t>the</w:t>
      </w:r>
      <w:r>
        <w:rPr>
          <w:spacing w:val="-5"/>
          <w:w w:val="105"/>
        </w:rPr>
        <w:t xml:space="preserve"> </w:t>
      </w:r>
      <w:r>
        <w:rPr>
          <w:w w:val="105"/>
        </w:rPr>
        <w:t>conduct</w:t>
      </w:r>
      <w:r>
        <w:rPr>
          <w:spacing w:val="-5"/>
          <w:w w:val="105"/>
        </w:rPr>
        <w:t xml:space="preserve"> </w:t>
      </w:r>
      <w:r>
        <w:rPr>
          <w:w w:val="105"/>
        </w:rPr>
        <w:t>and</w:t>
      </w:r>
      <w:r>
        <w:rPr>
          <w:spacing w:val="-5"/>
          <w:w w:val="105"/>
        </w:rPr>
        <w:t xml:space="preserve"> </w:t>
      </w:r>
      <w:r>
        <w:rPr>
          <w:spacing w:val="-1"/>
          <w:w w:val="105"/>
        </w:rPr>
        <w:t>style</w:t>
      </w:r>
      <w:r>
        <w:rPr>
          <w:spacing w:val="-4"/>
          <w:w w:val="105"/>
        </w:rPr>
        <w:t xml:space="preserve"> </w:t>
      </w:r>
      <w:r>
        <w:rPr>
          <w:w w:val="105"/>
        </w:rPr>
        <w:t>of</w:t>
      </w:r>
      <w:r>
        <w:rPr>
          <w:spacing w:val="-5"/>
          <w:w w:val="105"/>
        </w:rPr>
        <w:t xml:space="preserve"> </w:t>
      </w:r>
      <w:r>
        <w:rPr>
          <w:spacing w:val="-1"/>
          <w:w w:val="105"/>
        </w:rPr>
        <w:t>the</w:t>
      </w:r>
      <w:r>
        <w:rPr>
          <w:spacing w:val="39"/>
          <w:w w:val="104"/>
        </w:rPr>
        <w:t xml:space="preserve"> </w:t>
      </w:r>
      <w:r>
        <w:rPr>
          <w:w w:val="105"/>
        </w:rPr>
        <w:t>Institute.</w:t>
      </w:r>
      <w:r>
        <w:rPr>
          <w:spacing w:val="-4"/>
          <w:w w:val="105"/>
        </w:rPr>
        <w:t xml:space="preserve"> </w:t>
      </w:r>
      <w:r>
        <w:rPr>
          <w:w w:val="105"/>
        </w:rPr>
        <w:t>He/She</w:t>
      </w:r>
      <w:r>
        <w:rPr>
          <w:spacing w:val="-3"/>
          <w:w w:val="105"/>
        </w:rPr>
        <w:t xml:space="preserve"> </w:t>
      </w:r>
      <w:r>
        <w:rPr>
          <w:w w:val="105"/>
        </w:rPr>
        <w:t>has</w:t>
      </w:r>
      <w:r>
        <w:rPr>
          <w:spacing w:val="-4"/>
          <w:w w:val="105"/>
        </w:rPr>
        <w:t xml:space="preserve"> </w:t>
      </w:r>
      <w:r>
        <w:rPr>
          <w:w w:val="105"/>
        </w:rPr>
        <w:t>total</w:t>
      </w:r>
      <w:r>
        <w:rPr>
          <w:spacing w:val="-3"/>
          <w:w w:val="105"/>
        </w:rPr>
        <w:t xml:space="preserve"> </w:t>
      </w:r>
      <w:r>
        <w:rPr>
          <w:w w:val="105"/>
        </w:rPr>
        <w:t>authority</w:t>
      </w:r>
      <w:r>
        <w:rPr>
          <w:spacing w:val="-3"/>
          <w:w w:val="105"/>
        </w:rPr>
        <w:t xml:space="preserve"> </w:t>
      </w:r>
      <w:r>
        <w:rPr>
          <w:w w:val="105"/>
        </w:rPr>
        <w:t>to</w:t>
      </w:r>
      <w:r>
        <w:rPr>
          <w:spacing w:val="-4"/>
          <w:w w:val="105"/>
        </w:rPr>
        <w:t xml:space="preserve"> </w:t>
      </w:r>
      <w:r>
        <w:rPr>
          <w:w w:val="105"/>
        </w:rPr>
        <w:t>determine</w:t>
      </w:r>
      <w:r>
        <w:rPr>
          <w:spacing w:val="-3"/>
          <w:w w:val="105"/>
        </w:rPr>
        <w:t xml:space="preserve"> </w:t>
      </w:r>
      <w:r>
        <w:rPr>
          <w:w w:val="105"/>
        </w:rPr>
        <w:t>the</w:t>
      </w:r>
      <w:r>
        <w:rPr>
          <w:spacing w:val="36"/>
          <w:w w:val="104"/>
        </w:rPr>
        <w:t xml:space="preserve"> </w:t>
      </w:r>
      <w:r>
        <w:rPr>
          <w:w w:val="105"/>
        </w:rPr>
        <w:t>program.</w:t>
      </w:r>
      <w:r>
        <w:rPr>
          <w:spacing w:val="-4"/>
          <w:w w:val="105"/>
        </w:rPr>
        <w:t xml:space="preserve"> </w:t>
      </w:r>
      <w:r>
        <w:rPr>
          <w:w w:val="105"/>
        </w:rPr>
        <w:t>To</w:t>
      </w:r>
      <w:r>
        <w:rPr>
          <w:spacing w:val="-3"/>
          <w:w w:val="105"/>
        </w:rPr>
        <w:t xml:space="preserve"> </w:t>
      </w:r>
      <w:r>
        <w:rPr>
          <w:w w:val="105"/>
        </w:rPr>
        <w:t>assist</w:t>
      </w:r>
      <w:r>
        <w:rPr>
          <w:spacing w:val="-3"/>
          <w:w w:val="105"/>
        </w:rPr>
        <w:t xml:space="preserve"> </w:t>
      </w:r>
      <w:r>
        <w:rPr>
          <w:w w:val="105"/>
        </w:rPr>
        <w:t>the</w:t>
      </w:r>
      <w:r>
        <w:rPr>
          <w:spacing w:val="-4"/>
          <w:w w:val="105"/>
        </w:rPr>
        <w:t xml:space="preserve"> </w:t>
      </w:r>
      <w:r>
        <w:rPr>
          <w:w w:val="105"/>
        </w:rPr>
        <w:t>convener</w:t>
      </w:r>
      <w:r>
        <w:rPr>
          <w:spacing w:val="-3"/>
          <w:w w:val="105"/>
        </w:rPr>
        <w:t xml:space="preserve"> </w:t>
      </w:r>
      <w:r>
        <w:rPr>
          <w:w w:val="105"/>
        </w:rPr>
        <w:t>and</w:t>
      </w:r>
      <w:r>
        <w:rPr>
          <w:spacing w:val="-3"/>
          <w:w w:val="105"/>
        </w:rPr>
        <w:t xml:space="preserve"> </w:t>
      </w:r>
      <w:r>
        <w:rPr>
          <w:w w:val="105"/>
        </w:rPr>
        <w:t>to</w:t>
      </w:r>
      <w:r>
        <w:rPr>
          <w:spacing w:val="-4"/>
          <w:w w:val="105"/>
        </w:rPr>
        <w:t xml:space="preserve"> </w:t>
      </w:r>
      <w:r>
        <w:rPr>
          <w:w w:val="105"/>
        </w:rPr>
        <w:t>provide</w:t>
      </w:r>
      <w:r>
        <w:rPr>
          <w:spacing w:val="-3"/>
          <w:w w:val="105"/>
        </w:rPr>
        <w:t xml:space="preserve"> </w:t>
      </w:r>
      <w:r>
        <w:rPr>
          <w:w w:val="105"/>
        </w:rPr>
        <w:t>local</w:t>
      </w:r>
      <w:r>
        <w:rPr>
          <w:spacing w:val="57"/>
          <w:w w:val="104"/>
        </w:rPr>
        <w:t xml:space="preserve"> </w:t>
      </w:r>
      <w:r>
        <w:rPr>
          <w:w w:val="105"/>
        </w:rPr>
        <w:t>expertise</w:t>
      </w:r>
      <w:r>
        <w:rPr>
          <w:spacing w:val="-5"/>
          <w:w w:val="105"/>
        </w:rPr>
        <w:t xml:space="preserve"> </w:t>
      </w:r>
      <w:r>
        <w:rPr>
          <w:w w:val="105"/>
        </w:rPr>
        <w:t>an</w:t>
      </w:r>
      <w:r>
        <w:rPr>
          <w:spacing w:val="-5"/>
          <w:w w:val="105"/>
        </w:rPr>
        <w:t xml:space="preserve"> </w:t>
      </w:r>
      <w:r>
        <w:rPr>
          <w:w w:val="105"/>
        </w:rPr>
        <w:t>Institute</w:t>
      </w:r>
      <w:r>
        <w:rPr>
          <w:spacing w:val="-4"/>
          <w:w w:val="105"/>
        </w:rPr>
        <w:t xml:space="preserve"> </w:t>
      </w:r>
      <w:r>
        <w:rPr>
          <w:w w:val="105"/>
        </w:rPr>
        <w:t>planning</w:t>
      </w:r>
      <w:r>
        <w:rPr>
          <w:spacing w:val="-5"/>
          <w:w w:val="105"/>
        </w:rPr>
        <w:t xml:space="preserve"> </w:t>
      </w:r>
      <w:r>
        <w:rPr>
          <w:w w:val="105"/>
        </w:rPr>
        <w:t>committee</w:t>
      </w:r>
      <w:r>
        <w:rPr>
          <w:spacing w:val="-5"/>
          <w:w w:val="105"/>
        </w:rPr>
        <w:t xml:space="preserve"> </w:t>
      </w:r>
      <w:r>
        <w:rPr>
          <w:w w:val="105"/>
        </w:rPr>
        <w:t>is</w:t>
      </w:r>
      <w:r>
        <w:rPr>
          <w:spacing w:val="36"/>
          <w:w w:val="104"/>
        </w:rPr>
        <w:t xml:space="preserve"> </w:t>
      </w:r>
      <w:r>
        <w:rPr>
          <w:w w:val="105"/>
        </w:rPr>
        <w:t>recommended</w:t>
      </w:r>
      <w:r>
        <w:rPr>
          <w:spacing w:val="-4"/>
          <w:w w:val="105"/>
        </w:rPr>
        <w:t xml:space="preserve"> </w:t>
      </w:r>
      <w:r>
        <w:rPr>
          <w:w w:val="105"/>
        </w:rPr>
        <w:t>to</w:t>
      </w:r>
      <w:r>
        <w:rPr>
          <w:spacing w:val="-3"/>
          <w:w w:val="105"/>
        </w:rPr>
        <w:t xml:space="preserve"> </w:t>
      </w:r>
      <w:r>
        <w:rPr>
          <w:w w:val="105"/>
        </w:rPr>
        <w:t>the</w:t>
      </w:r>
      <w:r>
        <w:rPr>
          <w:spacing w:val="-3"/>
          <w:w w:val="105"/>
        </w:rPr>
        <w:t xml:space="preserve"> </w:t>
      </w:r>
      <w:r>
        <w:rPr>
          <w:w w:val="105"/>
        </w:rPr>
        <w:t>convener.</w:t>
      </w:r>
      <w:r>
        <w:rPr>
          <w:spacing w:val="-3"/>
          <w:w w:val="105"/>
        </w:rPr>
        <w:t xml:space="preserve"> </w:t>
      </w:r>
      <w:r>
        <w:rPr>
          <w:w w:val="105"/>
        </w:rPr>
        <w:t>The</w:t>
      </w:r>
      <w:r>
        <w:rPr>
          <w:spacing w:val="-4"/>
          <w:w w:val="105"/>
        </w:rPr>
        <w:t xml:space="preserve"> </w:t>
      </w:r>
      <w:r>
        <w:rPr>
          <w:w w:val="105"/>
        </w:rPr>
        <w:t>task</w:t>
      </w:r>
      <w:r>
        <w:rPr>
          <w:spacing w:val="-3"/>
          <w:w w:val="105"/>
        </w:rPr>
        <w:t xml:space="preserve"> </w:t>
      </w:r>
      <w:r>
        <w:rPr>
          <w:w w:val="105"/>
        </w:rPr>
        <w:t>of</w:t>
      </w:r>
      <w:r>
        <w:rPr>
          <w:spacing w:val="-4"/>
          <w:w w:val="105"/>
        </w:rPr>
        <w:t xml:space="preserve"> </w:t>
      </w:r>
      <w:r>
        <w:rPr>
          <w:w w:val="105"/>
        </w:rPr>
        <w:t>the</w:t>
      </w:r>
      <w:r>
        <w:rPr>
          <w:spacing w:val="-3"/>
          <w:w w:val="105"/>
        </w:rPr>
        <w:t xml:space="preserve"> </w:t>
      </w:r>
      <w:r>
        <w:rPr>
          <w:w w:val="105"/>
        </w:rPr>
        <w:t>planning</w:t>
      </w:r>
      <w:r>
        <w:rPr>
          <w:spacing w:val="54"/>
          <w:w w:val="104"/>
        </w:rPr>
        <w:t xml:space="preserve"> </w:t>
      </w:r>
      <w:r>
        <w:rPr>
          <w:spacing w:val="-1"/>
          <w:w w:val="105"/>
        </w:rPr>
        <w:t>committee</w:t>
      </w:r>
      <w:r>
        <w:rPr>
          <w:spacing w:val="-6"/>
          <w:w w:val="105"/>
        </w:rPr>
        <w:t xml:space="preserve"> </w:t>
      </w:r>
      <w:r>
        <w:rPr>
          <w:spacing w:val="-1"/>
          <w:w w:val="105"/>
        </w:rPr>
        <w:t>is</w:t>
      </w:r>
      <w:r>
        <w:rPr>
          <w:spacing w:val="-5"/>
          <w:w w:val="105"/>
        </w:rPr>
        <w:t xml:space="preserve"> </w:t>
      </w:r>
      <w:r>
        <w:rPr>
          <w:spacing w:val="-1"/>
          <w:w w:val="105"/>
        </w:rPr>
        <w:t>to</w:t>
      </w:r>
      <w:r>
        <w:rPr>
          <w:spacing w:val="-6"/>
          <w:w w:val="105"/>
        </w:rPr>
        <w:t xml:space="preserve"> </w:t>
      </w:r>
      <w:r>
        <w:rPr>
          <w:w w:val="105"/>
        </w:rPr>
        <w:t>act</w:t>
      </w:r>
      <w:r>
        <w:rPr>
          <w:spacing w:val="-5"/>
          <w:w w:val="105"/>
        </w:rPr>
        <w:t xml:space="preserve"> </w:t>
      </w:r>
      <w:r>
        <w:rPr>
          <w:w w:val="105"/>
        </w:rPr>
        <w:t>under</w:t>
      </w:r>
      <w:r>
        <w:rPr>
          <w:spacing w:val="-5"/>
          <w:w w:val="105"/>
        </w:rPr>
        <w:t xml:space="preserve"> </w:t>
      </w:r>
      <w:r>
        <w:rPr>
          <w:spacing w:val="-1"/>
          <w:w w:val="105"/>
        </w:rPr>
        <w:t>the</w:t>
      </w:r>
      <w:r>
        <w:rPr>
          <w:spacing w:val="-6"/>
          <w:w w:val="105"/>
        </w:rPr>
        <w:t xml:space="preserve"> </w:t>
      </w:r>
      <w:r>
        <w:rPr>
          <w:spacing w:val="-1"/>
          <w:w w:val="105"/>
        </w:rPr>
        <w:t>direction</w:t>
      </w:r>
      <w:r>
        <w:rPr>
          <w:spacing w:val="-5"/>
          <w:w w:val="105"/>
        </w:rPr>
        <w:t xml:space="preserve"> </w:t>
      </w:r>
      <w:r>
        <w:rPr>
          <w:w w:val="105"/>
        </w:rPr>
        <w:t>and</w:t>
      </w:r>
      <w:r>
        <w:rPr>
          <w:spacing w:val="-5"/>
          <w:w w:val="105"/>
        </w:rPr>
        <w:t xml:space="preserve"> </w:t>
      </w:r>
      <w:r>
        <w:rPr>
          <w:spacing w:val="-1"/>
          <w:w w:val="105"/>
        </w:rPr>
        <w:t>supervision</w:t>
      </w:r>
      <w:r>
        <w:rPr>
          <w:spacing w:val="47"/>
          <w:w w:val="104"/>
        </w:rPr>
        <w:t xml:space="preserve"> </w:t>
      </w:r>
      <w:r>
        <w:rPr>
          <w:w w:val="105"/>
        </w:rPr>
        <w:t>of</w:t>
      </w:r>
      <w:r>
        <w:rPr>
          <w:spacing w:val="-6"/>
          <w:w w:val="105"/>
        </w:rPr>
        <w:t xml:space="preserve"> </w:t>
      </w:r>
      <w:r>
        <w:rPr>
          <w:spacing w:val="-1"/>
          <w:w w:val="105"/>
        </w:rPr>
        <w:t>the</w:t>
      </w:r>
      <w:r>
        <w:rPr>
          <w:spacing w:val="-5"/>
          <w:w w:val="105"/>
        </w:rPr>
        <w:t xml:space="preserve"> </w:t>
      </w:r>
      <w:r>
        <w:rPr>
          <w:w w:val="105"/>
        </w:rPr>
        <w:t>convener</w:t>
      </w:r>
      <w:r>
        <w:rPr>
          <w:spacing w:val="-6"/>
          <w:w w:val="105"/>
        </w:rPr>
        <w:t xml:space="preserve"> </w:t>
      </w:r>
      <w:r>
        <w:rPr>
          <w:spacing w:val="-1"/>
          <w:w w:val="105"/>
        </w:rPr>
        <w:t>to</w:t>
      </w:r>
      <w:r>
        <w:rPr>
          <w:spacing w:val="-5"/>
          <w:w w:val="105"/>
        </w:rPr>
        <w:t xml:space="preserve"> </w:t>
      </w:r>
      <w:r>
        <w:rPr>
          <w:w w:val="105"/>
        </w:rPr>
        <w:t>make</w:t>
      </w:r>
      <w:r>
        <w:rPr>
          <w:spacing w:val="-5"/>
          <w:w w:val="105"/>
        </w:rPr>
        <w:t xml:space="preserve"> </w:t>
      </w:r>
      <w:r>
        <w:rPr>
          <w:spacing w:val="-1"/>
          <w:w w:val="105"/>
        </w:rPr>
        <w:t>all</w:t>
      </w:r>
      <w:r>
        <w:rPr>
          <w:spacing w:val="-6"/>
          <w:w w:val="105"/>
        </w:rPr>
        <w:t xml:space="preserve"> </w:t>
      </w:r>
      <w:r>
        <w:rPr>
          <w:spacing w:val="-1"/>
          <w:w w:val="105"/>
        </w:rPr>
        <w:t>necessary</w:t>
      </w:r>
      <w:r>
        <w:rPr>
          <w:spacing w:val="-5"/>
          <w:w w:val="105"/>
        </w:rPr>
        <w:t xml:space="preserve"> </w:t>
      </w:r>
      <w:r>
        <w:rPr>
          <w:spacing w:val="-1"/>
          <w:w w:val="105"/>
        </w:rPr>
        <w:t>arrangements</w:t>
      </w:r>
      <w:r>
        <w:rPr>
          <w:spacing w:val="-6"/>
          <w:w w:val="105"/>
        </w:rPr>
        <w:t xml:space="preserve"> </w:t>
      </w:r>
      <w:r>
        <w:rPr>
          <w:spacing w:val="-1"/>
          <w:w w:val="105"/>
        </w:rPr>
        <w:t>for</w:t>
      </w:r>
      <w:r>
        <w:rPr>
          <w:spacing w:val="45"/>
          <w:w w:val="104"/>
        </w:rPr>
        <w:t xml:space="preserve"> </w:t>
      </w:r>
      <w:r>
        <w:rPr>
          <w:spacing w:val="-1"/>
          <w:w w:val="105"/>
        </w:rPr>
        <w:t>the</w:t>
      </w:r>
      <w:r>
        <w:rPr>
          <w:spacing w:val="-7"/>
          <w:w w:val="105"/>
        </w:rPr>
        <w:t xml:space="preserve"> </w:t>
      </w:r>
      <w:r>
        <w:rPr>
          <w:w w:val="105"/>
        </w:rPr>
        <w:t>agenda</w:t>
      </w:r>
      <w:r>
        <w:rPr>
          <w:spacing w:val="-6"/>
          <w:w w:val="105"/>
        </w:rPr>
        <w:t xml:space="preserve"> </w:t>
      </w:r>
      <w:r>
        <w:rPr>
          <w:w w:val="105"/>
        </w:rPr>
        <w:t>and</w:t>
      </w:r>
      <w:r>
        <w:rPr>
          <w:spacing w:val="-6"/>
          <w:w w:val="105"/>
        </w:rPr>
        <w:t xml:space="preserve"> </w:t>
      </w:r>
      <w:r>
        <w:rPr>
          <w:spacing w:val="-1"/>
          <w:w w:val="105"/>
        </w:rPr>
        <w:t xml:space="preserve">program.”   </w:t>
      </w:r>
      <w:r>
        <w:rPr>
          <w:spacing w:val="-1"/>
          <w:w w:val="105"/>
        </w:rPr>
        <w:t>Note: the role of the Institute and its Committees as a transitioning organisation with Regionalisation may require update to this Crisis Management Plan when those transitions come into effect.</w:t>
      </w:r>
    </w:p>
  </w:footnote>
  <w:footnote w:id="3">
    <w:p>
      <w:pPr>
        <w:pStyle w:val="FootnoteText"/>
        <w:bidi w:val="0"/>
        <w:jc w:val="start"/>
        <w:rPr/>
      </w:pPr>
      <w:r>
        <w:rPr>
          <w:rStyle w:val="FootnoteCharacters"/>
        </w:rPr>
        <w:footnoteRef/>
      </w:r>
      <w:r>
        <w:rPr/>
        <w:tab/>
        <w:t>This section has been informed by the Crisis Management plan from Brazilian Distr</w:t>
      </w:r>
      <w:r>
        <w:rPr/>
        <w:t>i</w:t>
      </w:r>
      <w:r>
        <w:rPr/>
        <w:t>ct 4730 that was shared with the 9930 RYE Chair.</w:t>
      </w:r>
    </w:p>
  </w:footnote>
  <w:footnote w:id="4">
    <w:p>
      <w:pPr>
        <w:pStyle w:val="FootnoteText"/>
        <w:bidi w:val="0"/>
        <w:jc w:val="start"/>
        <w:rPr/>
      </w:pPr>
      <w:r>
        <w:rPr>
          <w:rStyle w:val="FootnoteCharacters"/>
        </w:rPr>
        <w:footnoteRef/>
      </w:r>
      <w:r>
        <w:rPr/>
        <w:tab/>
        <w:t xml:space="preserve">Drawn from the District 4370 </w:t>
      </w:r>
      <w:r>
        <w:rPr/>
        <w:t>Crisis Manag</w:t>
      </w:r>
      <w:r>
        <w:rPr/>
        <w:t>e</w:t>
      </w:r>
      <w:r>
        <w:rPr/>
        <w:t xml:space="preserve">ment plan </w:t>
      </w:r>
    </w:p>
  </w:footnote>
  <w:footnote w:id="5">
    <w:p>
      <w:pPr>
        <w:pStyle w:val="FootnoteText"/>
        <w:bidi w:val="0"/>
        <w:jc w:val="start"/>
        <w:rPr/>
      </w:pPr>
      <w:r>
        <w:rPr>
          <w:rStyle w:val="FootnoteCharacters"/>
        </w:rPr>
        <w:footnoteRef/>
      </w:r>
      <w:r>
        <w:rPr/>
        <w:tab/>
        <w:t xml:space="preserve">he District 4370 </w:t>
      </w:r>
      <w:r>
        <w:rPr/>
        <w:t>Crisis Manag</w:t>
      </w:r>
      <w:r>
        <w:rPr/>
        <w:t>e</w:t>
      </w:r>
      <w:r>
        <w:rPr/>
        <w:t xml:space="preserve">ment plan </w:t>
      </w:r>
      <w:r>
        <w:rPr/>
        <w:t>has a section which comp</w:t>
      </w:r>
      <w:r>
        <w:rPr/>
        <w:t>l</w:t>
      </w:r>
      <w:r>
        <w:rPr/>
        <w:t xml:space="preserve">icates the guidance provided by RI in the 775_abuse_harassment_allegation_reporting_guidelines_en_Zone8_Oceania_2023 </w:t>
      </w:r>
      <w:r>
        <w:rPr/>
        <w:t>and Rotary International District Youth Protection Policy_en_-  Zone 8 Oceania - NZ version March 2023.   This section has accordingly been simplified</w:t>
      </w:r>
    </w:p>
  </w:footnote>
  <w:footnote w:id="6">
    <w:p>
      <w:pPr>
        <w:pStyle w:val="FootnoteText"/>
        <w:bidi w:val="0"/>
        <w:jc w:val="start"/>
        <w:rPr/>
      </w:pPr>
      <w:r>
        <w:rPr>
          <w:rStyle w:val="FootnoteCharacters"/>
        </w:rPr>
        <w:footnoteRef/>
      </w:r>
      <w:r>
        <w:rPr>
          <w:color w:val="000000"/>
          <w:sz w:val="20"/>
          <w:szCs w:val="20"/>
        </w:rPr>
        <w:tab/>
        <w:t>S</w:t>
      </w:r>
      <w:r>
        <w:rPr/>
        <w:t>ee https://www.safetotalk.nz/</w:t>
      </w:r>
    </w:p>
  </w:footnote>
  <w:footnote w:id="7">
    <w:p>
      <w:pPr>
        <w:pStyle w:val="FootnoteText"/>
        <w:bidi w:val="0"/>
        <w:jc w:val="start"/>
        <w:rPr/>
      </w:pPr>
      <w:r>
        <w:rPr>
          <w:rStyle w:val="FootnoteCharacters"/>
        </w:rPr>
        <w:footnoteRef/>
      </w:r>
      <w:r>
        <w:rPr/>
        <w:tab/>
        <w:t>T</w:t>
      </w:r>
      <w:r>
        <w:rPr/>
        <w:t xml:space="preserve">he District 4370 </w:t>
      </w:r>
      <w:r>
        <w:rPr/>
        <w:t>Crisis Manag</w:t>
      </w:r>
      <w:r>
        <w:rPr/>
        <w:t>e</w:t>
      </w:r>
      <w:r>
        <w:rPr/>
        <w:t xml:space="preserve">ment plan </w:t>
      </w:r>
      <w:r>
        <w:rPr/>
        <w:t xml:space="preserve">has  </w:t>
      </w:r>
      <w:r>
        <w:rPr/>
        <w:t>detailed</w:t>
      </w:r>
      <w:r>
        <w:rPr/>
        <w:t xml:space="preserve">  section</w:t>
      </w:r>
      <w:r>
        <w:rPr/>
        <w:t xml:space="preserve">s dealing with COVID, missing people and death.  Those sections are highly prescriptive and may not provide the best considered planning.  The responsibility for such events lies with the CMT and it is the CMT that should be leading the specific </w:t>
      </w:r>
      <w:r>
        <w:rPr>
          <w:color w:val="000000"/>
          <w:sz w:val="20"/>
          <w:szCs w:val="20"/>
        </w:rPr>
        <w:t>event</w:t>
      </w:r>
      <w:r>
        <w:rPr/>
        <w:t xml:space="preserve"> </w:t>
      </w:r>
      <w:r>
        <w:rPr>
          <w:color w:val="000000"/>
          <w:sz w:val="20"/>
          <w:szCs w:val="20"/>
        </w:rPr>
        <w:t>response.</w:t>
      </w:r>
      <w:r>
        <w:rPr/>
        <w:t xml:space="preserve">  Those </w:t>
      </w:r>
      <w:r>
        <w:rPr>
          <w:color w:val="000000"/>
          <w:sz w:val="20"/>
          <w:szCs w:val="20"/>
        </w:rPr>
        <w:t>sections</w:t>
      </w:r>
      <w:r>
        <w:rPr/>
        <w:t xml:space="preserve"> ha</w:t>
      </w:r>
      <w:r>
        <w:rPr/>
        <w:t>ve</w:t>
      </w:r>
      <w:r>
        <w:rPr/>
        <w:t xml:space="preserve"> accordingly been simplified.</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center"/>
      <w:rPr/>
    </w:pPr>
    <w:r>
      <w:rPr/>
      <w:drawing>
        <wp:inline distT="0" distB="0" distL="0" distR="0">
          <wp:extent cx="1814195" cy="720090"/>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56" t="-141" r="-56" b="-141"/>
                  <a:stretch>
                    <a:fillRect/>
                  </a:stretch>
                </pic:blipFill>
                <pic:spPr bwMode="auto">
                  <a:xfrm>
                    <a:off x="0" y="0"/>
                    <a:ext cx="1814195" cy="720090"/>
                  </a:xfrm>
                  <a:prstGeom prst="rect">
                    <a:avLst/>
                  </a:prstGeom>
                  <a:ln w="9525">
                    <a:solidFill>
                      <a:srgbClr val="3465A4"/>
                    </a:solidFill>
                  </a:ln>
                </pic:spPr>
              </pic:pic>
            </a:graphicData>
          </a:graphic>
        </wp:inline>
      </w:drawing>
    </w:r>
  </w:p>
  <w:p>
    <w:pPr>
      <w:pStyle w:val="Title"/>
      <w:bidi w:val="0"/>
      <w:spacing w:before="295" w:after="119"/>
      <w:jc w:val="center"/>
      <w:rPr/>
    </w:pPr>
    <w:bookmarkStart w:id="59" w:name="__RefHeading___Toc15171_3986215611"/>
    <w:bookmarkEnd w:id="59"/>
    <w:r>
      <w:rPr/>
      <w:t>CRISIS MANAGEMENT PLAN</w:t>
    </w:r>
  </w:p>
  <w:p>
    <w:pPr>
      <w:pStyle w:val="Normal"/>
      <w:bidi w:val="0"/>
      <w:jc w:val="center"/>
      <w:rPr>
        <w:sz w:val="18"/>
        <w:szCs w:val="18"/>
      </w:rPr>
    </w:pPr>
    <w:r>
      <w:rPr>
        <w:sz w:val="18"/>
        <w:szCs w:val="18"/>
      </w:rPr>
      <w:t xml:space="preserve">for Rotary </w:t>
    </w:r>
    <w:r>
      <w:rPr>
        <w:sz w:val="18"/>
        <w:szCs w:val="18"/>
      </w:rPr>
      <w:t>Z</w:t>
    </w:r>
    <w:r>
      <w:rPr>
        <w:sz w:val="18"/>
        <w:szCs w:val="18"/>
      </w:rPr>
      <w:t xml:space="preserve">one 8 – </w:t>
    </w:r>
    <w:r>
      <w:rPr>
        <w:sz w:val="18"/>
        <w:szCs w:val="18"/>
      </w:rPr>
      <w:t>Oceania</w:t>
    </w:r>
    <w:r>
      <w:rPr>
        <w:sz w:val="18"/>
        <w:szCs w:val="18"/>
      </w:rPr>
      <w:t xml:space="preserve"> </w:t>
    </w:r>
    <w:r>
      <w:rPr>
        <w:color w:val="000000"/>
        <w:sz w:val="18"/>
        <w:szCs w:val="18"/>
        <w:lang w:val="en-GB"/>
      </w:rPr>
      <w:t>Districts</w:t>
    </w:r>
    <w:r>
      <w:rPr>
        <w:sz w:val="18"/>
        <w:szCs w:val="18"/>
      </w:rPr>
      <w:t xml:space="preserve"> 9910,9920,9930,9940 and 9999</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start"/>
      <w:pPr>
        <w:tabs>
          <w:tab w:val="num" w:pos="0"/>
        </w:tabs>
        <w:ind w:start="0" w:hanging="0"/>
      </w:pPr>
      <w:rPr/>
    </w:lvl>
    <w:lvl w:ilvl="1">
      <w:start w:val="1"/>
      <w:numFmt w:val="decimal"/>
      <w:lvlText w:val="%1.%2."/>
      <w:lvlJc w:val="start"/>
      <w:pPr>
        <w:tabs>
          <w:tab w:val="num" w:pos="0"/>
        </w:tabs>
        <w:ind w:start="0" w:hanging="0"/>
      </w:pPr>
      <w:rPr/>
    </w:lvl>
    <w:lvl w:ilvl="2">
      <w:start w:val="1"/>
      <w:numFmt w:val="decimal"/>
      <w:lvlText w:val="%1.%2.%3"/>
      <w:lvlJc w:val="start"/>
      <w:pPr>
        <w:tabs>
          <w:tab w:val="num" w:pos="0"/>
        </w:tabs>
        <w:ind w:start="0" w:hanging="0"/>
      </w:pPr>
    </w:lvl>
    <w:lvl w:ilvl="3">
      <w:start w:val="1"/>
      <w:pStyle w:val="Heading4"/>
      <w:numFmt w:val="none"/>
      <w:suff w:val="nothing"/>
      <w:lvlText w:val="%4"/>
      <w:lvlJc w:val="start"/>
      <w:pPr>
        <w:tabs>
          <w:tab w:val="num" w:pos="0"/>
        </w:tabs>
        <w:ind w:start="0" w:hanging="0"/>
      </w:pPr>
    </w:lvl>
    <w:lvl w:ilvl="4">
      <w:start w:val="1"/>
      <w:pStyle w:val="Heading5"/>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decimal"/>
      <w:lvlText w:val="%1."/>
      <w:lvlJc w:val="start"/>
      <w:pPr>
        <w:tabs>
          <w:tab w:val="num" w:pos="1134"/>
        </w:tabs>
        <w:ind w:start="1134" w:hanging="1134"/>
      </w:pPr>
      <w:rPr/>
    </w:lvl>
    <w:lvl w:ilvl="1">
      <w:start w:val="1"/>
      <w:numFmt w:val="decimal"/>
      <w:lvlText w:val="%1.%2."/>
      <w:lvlJc w:val="start"/>
      <w:pPr>
        <w:tabs>
          <w:tab w:val="num" w:pos="1134"/>
        </w:tabs>
        <w:ind w:start="1511" w:hanging="1511"/>
      </w:pPr>
      <w:rPr/>
    </w:lvl>
    <w:lvl w:ilvl="2">
      <w:start w:val="1"/>
      <w:numFmt w:val="decimal"/>
      <w:lvlText w:val="%1.%2.%3."/>
      <w:lvlJc w:val="start"/>
      <w:pPr>
        <w:tabs>
          <w:tab w:val="num" w:pos="1551"/>
        </w:tabs>
        <w:ind w:start="1908" w:hanging="397"/>
      </w:pPr>
      <w:rPr/>
    </w:lvl>
    <w:lvl w:ilvl="3">
      <w:start w:val="1"/>
      <w:numFmt w:val="decimal"/>
      <w:lvlText w:val="%4."/>
      <w:lvlJc w:val="start"/>
      <w:pPr>
        <w:tabs>
          <w:tab w:val="num" w:pos="1948"/>
        </w:tabs>
        <w:ind w:start="2305" w:hanging="397"/>
      </w:pPr>
      <w:rPr/>
    </w:lvl>
    <w:lvl w:ilvl="4">
      <w:start w:val="1"/>
      <w:numFmt w:val="decimal"/>
      <w:lvlText w:val="%5."/>
      <w:lvlJc w:val="start"/>
      <w:pPr>
        <w:tabs>
          <w:tab w:val="num" w:pos="2345"/>
        </w:tabs>
        <w:ind w:start="2702" w:hanging="397"/>
      </w:pPr>
      <w:rPr/>
    </w:lvl>
    <w:lvl w:ilvl="5">
      <w:start w:val="1"/>
      <w:numFmt w:val="decimal"/>
      <w:lvlText w:val="%6."/>
      <w:lvlJc w:val="start"/>
      <w:pPr>
        <w:tabs>
          <w:tab w:val="num" w:pos="2741"/>
        </w:tabs>
        <w:ind w:start="3098" w:hanging="397"/>
      </w:pPr>
      <w:rPr/>
    </w:lvl>
    <w:lvl w:ilvl="6">
      <w:start w:val="1"/>
      <w:numFmt w:val="decimal"/>
      <w:lvlText w:val="%7."/>
      <w:lvlJc w:val="start"/>
      <w:pPr>
        <w:tabs>
          <w:tab w:val="num" w:pos="3138"/>
        </w:tabs>
        <w:ind w:start="3495" w:hanging="397"/>
      </w:pPr>
      <w:rPr/>
    </w:lvl>
    <w:lvl w:ilvl="7">
      <w:start w:val="1"/>
      <w:numFmt w:val="decimal"/>
      <w:lvlText w:val="%8."/>
      <w:lvlJc w:val="start"/>
      <w:pPr>
        <w:tabs>
          <w:tab w:val="num" w:pos="3535"/>
        </w:tabs>
        <w:ind w:start="3892" w:hanging="397"/>
      </w:pPr>
      <w:rPr/>
    </w:lvl>
    <w:lvl w:ilvl="8">
      <w:start w:val="1"/>
      <w:numFmt w:val="decimal"/>
      <w:lvlText w:val="%9."/>
      <w:lvlJc w:val="start"/>
      <w:pPr>
        <w:tabs>
          <w:tab w:val="num" w:pos="3932"/>
        </w:tabs>
        <w:ind w:start="4289" w:hanging="397"/>
      </w:pPr>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1147"/>
        </w:tabs>
        <w:ind w:start="1147" w:hanging="360"/>
      </w:pPr>
      <w:rPr>
        <w:rFonts w:ascii="Symbol" w:hAnsi="Symbol" w:cs="Symbol" w:hint="default"/>
      </w:rPr>
    </w:lvl>
    <w:lvl w:ilvl="1">
      <w:start w:val="1"/>
      <w:numFmt w:val="bullet"/>
      <w:lvlText w:val="◦"/>
      <w:lvlJc w:val="start"/>
      <w:pPr>
        <w:tabs>
          <w:tab w:val="num" w:pos="1507"/>
        </w:tabs>
        <w:ind w:start="1507" w:hanging="360"/>
      </w:pPr>
      <w:rPr>
        <w:rFonts w:ascii="OpenSymbol" w:hAnsi="OpenSymbol" w:cs="OpenSymbol" w:hint="default"/>
      </w:rPr>
    </w:lvl>
    <w:lvl w:ilvl="2">
      <w:start w:val="1"/>
      <w:numFmt w:val="bullet"/>
      <w:lvlText w:val="▪"/>
      <w:lvlJc w:val="start"/>
      <w:pPr>
        <w:tabs>
          <w:tab w:val="num" w:pos="1867"/>
        </w:tabs>
        <w:ind w:start="1867" w:hanging="360"/>
      </w:pPr>
      <w:rPr>
        <w:rFonts w:ascii="OpenSymbol" w:hAnsi="OpenSymbol" w:cs="OpenSymbol" w:hint="default"/>
      </w:rPr>
    </w:lvl>
    <w:lvl w:ilvl="3">
      <w:start w:val="1"/>
      <w:numFmt w:val="bullet"/>
      <w:lvlText w:val=""/>
      <w:lvlJc w:val="start"/>
      <w:pPr>
        <w:tabs>
          <w:tab w:val="num" w:pos="2227"/>
        </w:tabs>
        <w:ind w:start="2227" w:hanging="360"/>
      </w:pPr>
      <w:rPr>
        <w:rFonts w:ascii="Symbol" w:hAnsi="Symbol" w:cs="Symbol" w:hint="default"/>
      </w:rPr>
    </w:lvl>
    <w:lvl w:ilvl="4">
      <w:start w:val="1"/>
      <w:numFmt w:val="bullet"/>
      <w:lvlText w:val="◦"/>
      <w:lvlJc w:val="start"/>
      <w:pPr>
        <w:tabs>
          <w:tab w:val="num" w:pos="2587"/>
        </w:tabs>
        <w:ind w:start="2587" w:hanging="360"/>
      </w:pPr>
      <w:rPr>
        <w:rFonts w:ascii="OpenSymbol" w:hAnsi="OpenSymbol" w:cs="OpenSymbol" w:hint="default"/>
      </w:rPr>
    </w:lvl>
    <w:lvl w:ilvl="5">
      <w:start w:val="1"/>
      <w:numFmt w:val="bullet"/>
      <w:lvlText w:val="▪"/>
      <w:lvlJc w:val="start"/>
      <w:pPr>
        <w:tabs>
          <w:tab w:val="num" w:pos="2947"/>
        </w:tabs>
        <w:ind w:start="2947" w:hanging="360"/>
      </w:pPr>
      <w:rPr>
        <w:rFonts w:ascii="OpenSymbol" w:hAnsi="OpenSymbol" w:cs="OpenSymbol" w:hint="default"/>
      </w:rPr>
    </w:lvl>
    <w:lvl w:ilvl="6">
      <w:start w:val="1"/>
      <w:numFmt w:val="bullet"/>
      <w:lvlText w:val=""/>
      <w:lvlJc w:val="start"/>
      <w:pPr>
        <w:tabs>
          <w:tab w:val="num" w:pos="3307"/>
        </w:tabs>
        <w:ind w:start="3307" w:hanging="360"/>
      </w:pPr>
      <w:rPr>
        <w:rFonts w:ascii="Symbol" w:hAnsi="Symbol" w:cs="Symbol" w:hint="default"/>
      </w:rPr>
    </w:lvl>
    <w:lvl w:ilvl="7">
      <w:start w:val="1"/>
      <w:numFmt w:val="bullet"/>
      <w:lvlText w:val="◦"/>
      <w:lvlJc w:val="start"/>
      <w:pPr>
        <w:tabs>
          <w:tab w:val="num" w:pos="3667"/>
        </w:tabs>
        <w:ind w:start="3667" w:hanging="360"/>
      </w:pPr>
      <w:rPr>
        <w:rFonts w:ascii="OpenSymbol" w:hAnsi="OpenSymbol" w:cs="OpenSymbol" w:hint="default"/>
      </w:rPr>
    </w:lvl>
    <w:lvl w:ilvl="8">
      <w:start w:val="1"/>
      <w:numFmt w:val="bullet"/>
      <w:lvlText w:val="▪"/>
      <w:lvlJc w:val="start"/>
      <w:pPr>
        <w:tabs>
          <w:tab w:val="num" w:pos="4027"/>
        </w:tabs>
        <w:ind w:start="4027" w:hanging="360"/>
      </w:pPr>
      <w:rPr>
        <w:rFonts w:ascii="OpenSymbol" w:hAnsi="OpenSymbol" w:cs="OpenSymbol" w:hint="default"/>
      </w:rPr>
    </w:lvl>
  </w:abstractNum>
  <w:abstractNum w:abstractNumId="5">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6">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7">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8">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9">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10">
    <w:lvl w:ilvl="0">
      <w:start w:val="1"/>
      <w:numFmt w:val="decimal"/>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11">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2">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13">
    <w:lvl w:ilvl="0">
      <w:start w:val="1"/>
      <w:numFmt w:val="lowerLetter"/>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revisionView w:insDel="0" w:formatting="0"/>
  <w:defaultTabStop w:val="709"/>
  <w:autoHyphenation w:val="true"/>
  <w:footnotePr>
    <w:numFmt w:val="decimal"/>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sz w:val="24"/>
        <w:szCs w:val="24"/>
        <w:lang w:val="en-NZ"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Arial" w:hAnsi="Arial" w:eastAsia="Noto Serif CJK SC" w:cs="FreeSans"/>
      <w:color w:val="000000"/>
      <w:sz w:val="24"/>
      <w:szCs w:val="24"/>
      <w:lang w:val="en-NZ" w:eastAsia="zh-CN" w:bidi="hi-IN"/>
    </w:rPr>
  </w:style>
  <w:style w:type="paragraph" w:styleId="Heading1">
    <w:name w:val="Heading 1"/>
    <w:basedOn w:val="Heading"/>
    <w:next w:val="BodyText"/>
    <w:qFormat/>
    <w:pPr>
      <w:keepNext w:val="true"/>
      <w:numPr>
        <w:ilvl w:val="0"/>
        <w:numId w:val="1"/>
      </w:numPr>
      <w:tabs>
        <w:tab w:val="clear" w:pos="709"/>
      </w:tabs>
      <w:spacing w:before="240" w:after="120"/>
      <w:ind w:hanging="1134" w:start="1134" w:end="0"/>
      <w:outlineLvl w:val="0"/>
    </w:pPr>
    <w:rPr>
      <w:rFonts w:ascii="Tahoma" w:hAnsi="Tahoma" w:eastAsia="Noto Serif CJK SC" w:cs="FreeSans"/>
      <w:b/>
      <w:bCs w:val="false"/>
      <w:color w:val="2A6099"/>
      <w:spacing w:val="40"/>
      <w:sz w:val="36"/>
      <w:szCs w:val="48"/>
      <w:lang w:val="en-GB"/>
    </w:rPr>
  </w:style>
  <w:style w:type="paragraph" w:styleId="Heading2">
    <w:name w:val="Heading 2"/>
    <w:basedOn w:val="Heading1"/>
    <w:next w:val="BodyText"/>
    <w:qFormat/>
    <w:pPr>
      <w:numPr>
        <w:ilvl w:val="0"/>
        <w:numId w:val="2"/>
      </w:numPr>
      <w:spacing w:before="200" w:after="120"/>
      <w:outlineLvl w:val="9"/>
    </w:pPr>
    <w:rPr>
      <w:rFonts w:ascii="Tahoma" w:hAnsi="Tahoma"/>
      <w:b/>
      <w:bCs w:val="false"/>
      <w:color w:val="2A6099"/>
      <w:spacing w:val="60"/>
      <w:sz w:val="28"/>
      <w:szCs w:val="55"/>
    </w:rPr>
  </w:style>
  <w:style w:type="paragraph" w:styleId="Heading3">
    <w:name w:val="Heading 3"/>
    <w:basedOn w:val="Heading2"/>
    <w:next w:val="BodyText"/>
    <w:qFormat/>
    <w:pPr>
      <w:keepNext w:val="true"/>
      <w:numPr>
        <w:ilvl w:val="0"/>
        <w:numId w:val="2"/>
      </w:numPr>
      <w:spacing w:before="140" w:after="120"/>
      <w:ind w:firstLine="1134" w:start="1134" w:end="0"/>
    </w:pPr>
    <w:rPr>
      <w:b/>
      <w:bCs w:val="false"/>
      <w:sz w:val="24"/>
      <w:szCs w:val="56"/>
    </w:rPr>
  </w:style>
  <w:style w:type="paragraph" w:styleId="Heading4">
    <w:name w:val="Heading 4"/>
    <w:basedOn w:val="Heading"/>
    <w:next w:val="BodyText"/>
    <w:qFormat/>
    <w:pPr>
      <w:numPr>
        <w:ilvl w:val="3"/>
        <w:numId w:val="1"/>
      </w:numPr>
      <w:spacing w:before="120" w:after="120"/>
      <w:outlineLvl w:val="3"/>
    </w:pPr>
    <w:rPr>
      <w:b/>
      <w:bCs/>
      <w:i/>
      <w:iCs/>
      <w:sz w:val="27"/>
      <w:szCs w:val="27"/>
    </w:rPr>
  </w:style>
  <w:style w:type="paragraph" w:styleId="Heading5">
    <w:name w:val="Heading 5"/>
    <w:basedOn w:val="Heading"/>
    <w:next w:val="BodyText"/>
    <w:qFormat/>
    <w:pPr>
      <w:numPr>
        <w:ilvl w:val="4"/>
        <w:numId w:val="1"/>
      </w:numPr>
      <w:spacing w:before="120" w:after="60"/>
      <w:outlineLvl w:val="4"/>
    </w:pPr>
    <w:rPr>
      <w:b/>
      <w:bCs/>
      <w:sz w:val="24"/>
      <w:szCs w:val="24"/>
    </w:rPr>
  </w:style>
  <w:style w:type="character" w:styleId="Hyperlink">
    <w:name w:val="Hyperlink"/>
    <w:rPr>
      <w:color w:val="000000"/>
      <w:u w:val="single"/>
      <w:lang w:val="zxx" w:eastAsia="zxx" w:bidi="zxx"/>
    </w:rPr>
  </w:style>
  <w:style w:type="character" w:styleId="FollowedHyperlink">
    <w:name w:val="FollowedHyperlink"/>
    <w:rPr>
      <w:color w:val="000000"/>
      <w:u w:val="single"/>
      <w:lang w:val="zxx" w:eastAsia="zxx" w:bidi="zxx"/>
    </w:rPr>
  </w:style>
  <w:style w:type="character" w:styleId="NumberingSymbols">
    <w:name w:val="Numbering Symbols"/>
    <w:qFormat/>
    <w:rPr/>
  </w:style>
  <w:style w:type="character" w:styleId="MainIndexEntry">
    <w:name w:val="Main Index Entry"/>
    <w:qFormat/>
    <w:rPr>
      <w:b/>
      <w:bCs/>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FootnoteCharacters">
    <w:name w:val="Footnote Characters"/>
    <w:qFormat/>
    <w:rPr/>
  </w:style>
  <w:style w:type="character" w:styleId="FootnoteReference">
    <w:name w:val="Footnote Reference"/>
    <w:rPr>
      <w:vertAlign w:val="superscript"/>
    </w:rPr>
  </w:style>
  <w:style w:type="character" w:styleId="BalloonTextChar">
    <w:name w:val="Balloon Text Char"/>
    <w:basedOn w:val="DefaultParagraphFont"/>
    <w:qFormat/>
    <w:rPr>
      <w:rFonts w:ascii="Tahoma" w:hAnsi="Tahoma" w:cs="Tahoma"/>
      <w:sz w:val="16"/>
      <w:szCs w:val="16"/>
    </w:rPr>
  </w:style>
  <w:style w:type="character" w:styleId="FooterChar">
    <w:name w:val="Footer Char"/>
    <w:basedOn w:val="DefaultParagraphFont"/>
    <w:qFormat/>
    <w:rPr/>
  </w:style>
  <w:style w:type="character" w:styleId="HeaderChar">
    <w:name w:val="Header Char"/>
    <w:basedOn w:val="DefaultParagraphFont"/>
    <w:qFormat/>
    <w:rPr/>
  </w:style>
  <w:style w:type="character" w:styleId="DefaultParagraphFont">
    <w:name w:val="Default Paragraph Font"/>
    <w:qFormat/>
    <w:rPr/>
  </w:style>
  <w:style w:type="character" w:styleId="LineNumber">
    <w:name w:val="Line Number"/>
    <w:rPr/>
  </w:style>
  <w:style w:type="character" w:styleId="Emphasis">
    <w:name w:val="Emphasis"/>
    <w:qFormat/>
    <w:rPr>
      <w:i/>
      <w:iCs/>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rFonts w:ascii="Arial" w:hAnsi="Arial"/>
      <w:lang w:val="en-GB"/>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Title">
    <w:name w:val="Title"/>
    <w:basedOn w:val="Heading"/>
    <w:next w:val="BodyText"/>
    <w:qFormat/>
    <w:pPr>
      <w:tabs>
        <w:tab w:val="clear" w:pos="709"/>
      </w:tabs>
      <w:spacing w:before="295" w:after="119"/>
      <w:jc w:val="center"/>
    </w:pPr>
    <w:rPr>
      <w:b/>
      <w:bCs w:val="false"/>
      <w:color w:val="2A6099"/>
      <w:sz w:val="28"/>
      <w:szCs w:val="56"/>
    </w:rPr>
  </w:style>
  <w:style w:type="paragraph" w:styleId="IndexHeading">
    <w:name w:val="Index Heading"/>
    <w:basedOn w:val="Heading"/>
    <w:pPr>
      <w:suppressLineNumbers/>
      <w:ind w:hanging="0" w:start="0" w:end="0"/>
    </w:pPr>
    <w:rPr>
      <w:b/>
      <w:bCs/>
      <w:sz w:val="32"/>
      <w:szCs w:val="32"/>
    </w:rPr>
  </w:style>
  <w:style w:type="paragraph" w:styleId="TOCHeading">
    <w:name w:val="TOC Heading"/>
    <w:basedOn w:val="IndexHeading"/>
    <w:qFormat/>
    <w:pPr>
      <w:suppressLineNumbers/>
      <w:ind w:hanging="0" w:start="0" w:end="0"/>
    </w:pPr>
    <w:rPr>
      <w:b/>
      <w:bCs/>
      <w:sz w:val="32"/>
      <w:szCs w:val="32"/>
    </w:rPr>
  </w:style>
  <w:style w:type="paragraph" w:styleId="TOC1">
    <w:name w:val="TOC 1"/>
    <w:basedOn w:val="Index"/>
    <w:pPr>
      <w:tabs>
        <w:tab w:val="clear" w:pos="709"/>
        <w:tab w:val="right" w:pos="9638" w:leader="dot"/>
      </w:tabs>
      <w:ind w:hanging="0" w:start="0" w:end="0"/>
    </w:pPr>
    <w:rPr/>
  </w:style>
  <w:style w:type="paragraph" w:styleId="TOC2">
    <w:name w:val="TOC 2"/>
    <w:basedOn w:val="Index"/>
    <w:pPr>
      <w:tabs>
        <w:tab w:val="clear" w:pos="709"/>
        <w:tab w:val="right" w:pos="9638" w:leader="dot"/>
      </w:tabs>
      <w:ind w:hanging="0" w:start="283" w:end="0"/>
    </w:pPr>
    <w:rPr/>
  </w:style>
  <w:style w:type="paragraph" w:styleId="TOC3">
    <w:name w:val="TOC 3"/>
    <w:basedOn w:val="Index"/>
    <w:pPr>
      <w:tabs>
        <w:tab w:val="clear" w:pos="709"/>
        <w:tab w:val="right" w:pos="9638" w:leader="dot"/>
      </w:tabs>
      <w:ind w:hanging="0" w:start="566" w:end="0"/>
    </w:pPr>
    <w:rPr/>
  </w:style>
  <w:style w:type="paragraph" w:styleId="FootnoteText">
    <w:name w:val="Footnote Text"/>
    <w:basedOn w:val="Normal"/>
    <w:pPr>
      <w:suppressLineNumbers/>
      <w:ind w:hanging="340" w:start="340" w:end="0"/>
    </w:pPr>
    <w:rPr>
      <w:sz w:val="20"/>
      <w:szCs w:val="20"/>
    </w:rPr>
  </w:style>
  <w:style w:type="paragraph" w:styleId="FrameContents">
    <w:name w:val="Frame Contents"/>
    <w:basedOn w:val="Normal"/>
    <w:qFormat/>
    <w:pPr/>
    <w:rPr/>
  </w:style>
  <w:style w:type="paragraph" w:styleId="Revision">
    <w:name w:val="Revision"/>
    <w:qFormat/>
    <w:pPr>
      <w:widowControl/>
      <w:kinsoku w:val="true"/>
      <w:overflowPunct w:val="true"/>
      <w:autoSpaceDE w:val="true"/>
      <w:bidi w:val="0"/>
      <w:spacing w:before="0" w:after="0"/>
      <w:jc w:val="start"/>
    </w:pPr>
    <w:rPr>
      <w:rFonts w:ascii="Liberation Serif" w:hAnsi="Liberation Serif" w:eastAsia="Noto Serif CJK SC" w:cs="FreeSans"/>
      <w:color w:val="auto"/>
      <w:sz w:val="24"/>
      <w:szCs w:val="24"/>
      <w:lang w:val="en-NZ" w:eastAsia="zh-CN" w:bidi="hi-IN"/>
    </w:rPr>
  </w:style>
  <w:style w:type="paragraph" w:styleId="BalloonText">
    <w:name w:val="Balloon Text"/>
    <w:basedOn w:val="Normal"/>
    <w:qFormat/>
    <w:pPr/>
    <w:rPr>
      <w:rFonts w:ascii="Tahoma" w:hAnsi="Tahoma" w:cs="Tahoma"/>
      <w:sz w:val="16"/>
      <w:szCs w:val="16"/>
    </w:rPr>
  </w:style>
  <w:style w:type="paragraph" w:styleId="TableParagraph">
    <w:name w:val="Table Paragraph"/>
    <w:basedOn w:val="Normal"/>
    <w:qFormat/>
    <w:pPr/>
    <w:rPr/>
  </w:style>
  <w:style w:type="paragraph" w:styleId="ListParagraph">
    <w:name w:val="List Paragraph"/>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TOC4">
    <w:name w:val="TOC 4"/>
    <w:basedOn w:val="Index"/>
    <w:pPr>
      <w:tabs>
        <w:tab w:val="clear" w:pos="709"/>
        <w:tab w:val="right" w:pos="9638" w:leader="dot"/>
      </w:tabs>
      <w:ind w:hanging="0" w:start="850" w:end="0"/>
    </w:pPr>
    <w:rPr/>
  </w:style>
  <w:style w:type="numbering" w:styleId="NoList">
    <w:name w:val="No List"/>
    <w:qFormat/>
  </w:style>
  <w:style w:type="numbering" w:styleId="Numbering123">
    <w:name w:val="Numbering 123"/>
    <w:qFormat/>
  </w:style>
  <w:style w:type="numbering" w:styleId="Numberingivx">
    <w:name w:val="Numbering ivx"/>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y.rotary.org/en/document/developing-crisis-management-plan" TargetMode="External"/><Relationship Id="rId3" Type="http://schemas.openxmlformats.org/officeDocument/2006/relationships/hyperlink" Target="https://www.safetotalk.nz/" TargetMode="External"/><Relationship Id="rId4" Type="http://schemas.openxmlformats.org/officeDocument/2006/relationships/hyperlink" Target="mailto:secretary@rotarydistrict9920.orgby" TargetMode="External"/><Relationship Id="rId5" Type="http://schemas.openxmlformats.org/officeDocument/2006/relationships/hyperlink" Target="mailto:dgtrain@rotarydistrict9920.org" TargetMode="External"/><Relationship Id="rId6" Type="http://schemas.openxmlformats.org/officeDocument/2006/relationships/hyperlink" Target="mailto:dgtrain@rotarydistrict9920.org" TargetMode="External"/><Relationship Id="rId7" Type="http://schemas.openxmlformats.org/officeDocument/2006/relationships/hyperlink" Target="mailto:youth-programmes@rotaryoceania.zone" TargetMode="External"/><Relationship Id="rId8" Type="http://schemas.openxmlformats.org/officeDocument/2006/relationships/hyperlink" Target="mailto:youth-protection@rotaryoceania.zone" TargetMode="External"/><Relationship Id="rId9" Type="http://schemas.openxmlformats.org/officeDocument/2006/relationships/hyperlink" Target="https://alcoholdrughelp.org.nz/" TargetMode="External"/><Relationship Id="rId10" Type="http://schemas.openxmlformats.org/officeDocument/2006/relationships/hyperlink" Target="https://www.anxiety.org.nz/" TargetMode="External"/><Relationship Id="rId11" Type="http://schemas.openxmlformats.org/officeDocument/2006/relationships/hyperlink" Target="https://www.areyouok.org.nz/support-available/" TargetMode="External"/><Relationship Id="rId12" Type="http://schemas.openxmlformats.org/officeDocument/2006/relationships/hyperlink" Target="https://depression.org.nz/" TargetMode="External"/><Relationship Id="rId13" Type="http://schemas.openxmlformats.org/officeDocument/2006/relationships/hyperlink" Target="https://www.familyservices.govt.nz/directory/" TargetMode="External"/><Relationship Id="rId14" Type="http://schemas.openxmlformats.org/officeDocument/2006/relationships/hyperlink" Target="https://www.lifeline.org.nz/" TargetMode="External"/><Relationship Id="rId15" Type="http://schemas.openxmlformats.org/officeDocument/2006/relationships/hyperlink" Target="https://malesurvivor.nz/" TargetMode="External"/><Relationship Id="rId16" Type="http://schemas.openxmlformats.org/officeDocument/2006/relationships/hyperlink" Target="https://outline.org.nz/" TargetMode="External"/><Relationship Id="rId17" Type="http://schemas.openxmlformats.org/officeDocument/2006/relationships/hyperlink" Target="https://rapecrisisnz.org.nz/" TargetMode="External"/><Relationship Id="rId18" Type="http://schemas.openxmlformats.org/officeDocument/2006/relationships/hyperlink" Target="https://safetotalk.nz/" TargetMode="External"/><Relationship Id="rId19" Type="http://schemas.openxmlformats.org/officeDocument/2006/relationships/hyperlink" Target="https://victimsupport.org.nz/" TargetMode="External"/><Relationship Id="rId20" Type="http://schemas.openxmlformats.org/officeDocument/2006/relationships/hyperlink" Target="https://www.thelowdown.co.nz/" TargetMode="External"/><Relationship Id="rId21" Type="http://schemas.openxmlformats.org/officeDocument/2006/relationships/hyperlink" Target="https://www.skylight.org.nz/" TargetMode="External"/><Relationship Id="rId22" Type="http://schemas.openxmlformats.org/officeDocument/2006/relationships/hyperlink" Target="https://www.health.govt.nz/your-health/services-and-support/health-care-services/mental-health-services/mental-health-and-wellbeing-where-get-help"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notes" Target="footnotes.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1099</TotalTime>
  <Application>LibreOffice/24.2.7.2$Linux_X86_64 LibreOffice_project/420$Build-2</Application>
  <AppVersion>15.0000</AppVersion>
  <Pages>27</Pages>
  <Words>6184</Words>
  <Characters>34924</Characters>
  <CharactersWithSpaces>40780</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en-NZ</dc:language>
  <cp:lastModifiedBy>Craig Horrocks</cp:lastModifiedBy>
  <dcterms:modified xsi:type="dcterms:W3CDTF">2023-07-13T13:53:37Z</dcterms:modified>
  <cp:revision>46</cp:revision>
  <dc:subject/>
  <dc:title/>
</cp:coreProperties>
</file>