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tbl>
      <w:tblPr>
        <w:tblW w:w="10225" w:type="dxa"/>
        <w:jc w:val="start"/>
        <w:tblInd w:w="-21" w:type="dxa"/>
        <w:tblLayout w:type="fixed"/>
        <w:tblCellMar>
          <w:top w:w="0" w:type="dxa"/>
          <w:start w:w="103" w:type="dxa"/>
          <w:bottom w:w="0" w:type="dxa"/>
          <w:end w:w="108" w:type="dxa"/>
        </w:tblCellMar>
      </w:tblPr>
      <w:tblGrid>
        <w:gridCol w:w="10225"/>
      </w:tblGrid>
      <w:tr>
        <w:trPr>
          <w:trHeight w:val="480" w:hRule="atLeast"/>
        </w:trPr>
        <w:tc>
          <w:tcPr>
            <w:tcW w:w="10225" w:type="dxa"/>
            <w:tcBorders>
              <w:top w:val="single" w:sz="4" w:space="0" w:color="000001"/>
              <w:start w:val="single" w:sz="4" w:space="0" w:color="000001"/>
              <w:bottom w:val="single" w:sz="4" w:space="0" w:color="000001"/>
              <w:end w:val="single" w:sz="4" w:space="0" w:color="000001"/>
            </w:tcBorders>
            <w:shd w:fill="CCCCCC" w:val="clear"/>
          </w:tcPr>
          <w:p>
            <w:pPr>
              <w:pStyle w:val="Normal"/>
              <w:widowControl w:val="false"/>
              <w:rPr/>
            </w:pPr>
            <w:r>
              <w:rPr>
                <w:b/>
                <w:bCs/>
              </w:rPr>
              <w:t>Event Management</w:t>
            </w:r>
            <w:r>
              <w:drawing>
                <wp:anchor behindDoc="0" distT="0" distB="0" distL="0" distR="0" simplePos="0" locked="0" layoutInCell="1" allowOverlap="1" relativeHeight="2">
                  <wp:simplePos x="0" y="0"/>
                  <wp:positionH relativeFrom="column">
                    <wp:align>right</wp:align>
                  </wp:positionH>
                  <wp:positionV relativeFrom="paragraph">
                    <wp:posOffset>635</wp:posOffset>
                  </wp:positionV>
                  <wp:extent cx="3776345" cy="1080135"/>
                  <wp:effectExtent l="0" t="0" r="0" b="0"/>
                  <wp:wrapSquare wrapText="largest"/>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2"/>
                          <a:stretch>
                            <a:fillRect/>
                          </a:stretch>
                        </pic:blipFill>
                        <pic:spPr bwMode="auto">
                          <a:xfrm>
                            <a:off x="0" y="0"/>
                            <a:ext cx="3776345" cy="1080135"/>
                          </a:xfrm>
                          <a:prstGeom prst="rect">
                            <a:avLst/>
                          </a:prstGeom>
                        </pic:spPr>
                      </pic:pic>
                    </a:graphicData>
                  </a:graphic>
                </wp:anchor>
              </w:drawing>
            </w:r>
            <w:r>
              <w:rPr>
                <w:b/>
                <w:bCs/>
              </w:rPr>
              <w:t xml:space="preserve"> AGREEMENT</w:t>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b/>
                <w:bCs/>
              </w:rPr>
            </w:pPr>
            <w:r>
              <w:rPr>
                <w:b/>
                <w:bCs/>
              </w:rPr>
            </w:r>
          </w:p>
          <w:p>
            <w:pPr>
              <w:pStyle w:val="Normal"/>
              <w:widowControl w:val="false"/>
              <w:rPr>
                <w:sz w:val="24"/>
              </w:rPr>
            </w:pPr>
            <w:r>
              <w:rPr>
                <w:sz w:val="24"/>
              </w:rPr>
            </w:r>
          </w:p>
        </w:tc>
      </w:tr>
    </w:tbl>
    <w:p>
      <w:pPr>
        <w:pStyle w:val="Normal"/>
        <w:rPr>
          <w:color w:val="FFFFFF"/>
        </w:rPr>
      </w:pPr>
      <w:r>
        <w:rPr>
          <w:color w:val="FFFFFF"/>
        </w:rPr>
      </w:r>
    </w:p>
    <w:tbl>
      <w:tblPr>
        <w:tblW w:w="10225" w:type="dxa"/>
        <w:jc w:val="start"/>
        <w:tblInd w:w="-21" w:type="dxa"/>
        <w:tblLayout w:type="fixed"/>
        <w:tblCellMar>
          <w:top w:w="0" w:type="dxa"/>
          <w:start w:w="103" w:type="dxa"/>
          <w:bottom w:w="0" w:type="dxa"/>
          <w:end w:w="108" w:type="dxa"/>
        </w:tblCellMar>
      </w:tblPr>
      <w:tblGrid>
        <w:gridCol w:w="10225"/>
      </w:tblGrid>
      <w:tr>
        <w:trPr/>
        <w:tc>
          <w:tcPr>
            <w:tcW w:w="10225" w:type="dxa"/>
            <w:tcBorders>
              <w:top w:val="single" w:sz="4" w:space="0" w:color="000001"/>
              <w:start w:val="single" w:sz="4" w:space="0" w:color="000001"/>
              <w:bottom w:val="single" w:sz="4" w:space="0" w:color="000001"/>
              <w:end w:val="single" w:sz="4" w:space="0" w:color="000001"/>
            </w:tcBorders>
            <w:shd w:fill="2A6099" w:val="clear"/>
          </w:tcPr>
          <w:p>
            <w:pPr>
              <w:pStyle w:val="Normal"/>
              <w:widowControl w:val="false"/>
              <w:jc w:val="center"/>
              <w:rPr>
                <w:rFonts w:ascii="Verdana" w:hAnsi="Verdana"/>
                <w:b/>
                <w:color w:val="FFFFFF"/>
                <w:sz w:val="24"/>
                <w:szCs w:val="24"/>
              </w:rPr>
            </w:pPr>
            <w:r>
              <w:rPr>
                <w:rFonts w:ascii="Verdana" w:hAnsi="Verdana"/>
                <w:b/>
                <w:color w:val="FFFFFF"/>
                <w:sz w:val="24"/>
                <w:szCs w:val="24"/>
              </w:rPr>
              <w:t>Event Manager and Organiser</w:t>
            </w:r>
          </w:p>
        </w:tc>
      </w:tr>
    </w:tbl>
    <w:p>
      <w:pPr>
        <w:pStyle w:val="Normal"/>
        <w:jc w:val="center"/>
        <w:rPr>
          <w:rFonts w:ascii="Book Antiqua" w:hAnsi="Book Antiqua"/>
          <w:sz w:val="16"/>
        </w:rPr>
      </w:pPr>
      <w:r>
        <w:rPr>
          <w:rFonts w:ascii="Book Antiqua" w:hAnsi="Book Antiqua"/>
          <w:sz w:val="16"/>
        </w:rPr>
      </w:r>
    </w:p>
    <w:tbl>
      <w:tblPr>
        <w:tblW w:w="10240" w:type="dxa"/>
        <w:jc w:val="start"/>
        <w:tblInd w:w="-36" w:type="dxa"/>
        <w:tblLayout w:type="fixed"/>
        <w:tblCellMar>
          <w:top w:w="108" w:type="dxa"/>
          <w:start w:w="103" w:type="dxa"/>
          <w:bottom w:w="108" w:type="dxa"/>
          <w:end w:w="108" w:type="dxa"/>
        </w:tblCellMar>
      </w:tblPr>
      <w:tblGrid>
        <w:gridCol w:w="10240"/>
      </w:tblGrid>
      <w:tr>
        <w:trPr/>
        <w:tc>
          <w:tcPr>
            <w:tcW w:w="10240" w:type="dxa"/>
            <w:tcBorders>
              <w:top w:val="single" w:sz="4" w:space="0" w:color="000001"/>
              <w:start w:val="single" w:sz="4" w:space="0" w:color="000001"/>
              <w:end w:val="single" w:sz="4" w:space="0" w:color="000001"/>
            </w:tcBorders>
          </w:tcPr>
          <w:p>
            <w:pPr>
              <w:pStyle w:val="Normal"/>
              <w:widowControl w:val="false"/>
              <w:spacing w:before="200" w:after="60"/>
              <w:rPr>
                <w:position w:val="-7"/>
              </w:rPr>
            </w:pPr>
            <w:r>
              <w:rPr>
                <w:position w:val="-7"/>
              </w:rPr>
              <w:t>ROZevents Limited, a wholly owned subsidiary of ROZops Ltd a duly incorporated charity having its registered office at Auckland, NEW ZEALAND</w:t>
            </w:r>
          </w:p>
          <w:p>
            <w:pPr>
              <w:pStyle w:val="Normal"/>
              <w:widowControl w:val="false"/>
              <w:spacing w:before="200" w:after="60"/>
              <w:rPr>
                <w:b/>
                <w:bCs/>
                <w:position w:val="-8"/>
              </w:rPr>
            </w:pPr>
            <w:r>
              <w:rPr>
                <w:b/>
                <w:bCs/>
                <w:position w:val="-8"/>
              </w:rPr>
              <w:t>(“ROZevents”)</w:t>
            </w:r>
          </w:p>
        </w:tc>
      </w:tr>
      <w:tr>
        <w:trPr/>
        <w:tc>
          <w:tcPr>
            <w:tcW w:w="10240" w:type="dxa"/>
            <w:tcBorders>
              <w:start w:val="single" w:sz="4" w:space="0" w:color="000001"/>
              <w:bottom w:val="single" w:sz="4" w:space="0" w:color="000001"/>
              <w:end w:val="single" w:sz="4" w:space="0" w:color="000001"/>
            </w:tcBorders>
          </w:tcPr>
          <w:p>
            <w:pPr>
              <w:pStyle w:val="Normal"/>
              <w:widowControl w:val="false"/>
              <w:spacing w:before="0" w:after="60"/>
              <w:rPr/>
            </w:pPr>
            <w:r>
              <w:rPr/>
            </w:r>
          </w:p>
          <w:p>
            <w:pPr>
              <w:pStyle w:val="Normal"/>
              <w:widowControl w:val="false"/>
              <w:spacing w:before="0" w:after="60"/>
              <w:rPr/>
            </w:pPr>
            <w:r>
              <w:rPr/>
            </w:r>
          </w:p>
          <w:p>
            <w:pPr>
              <w:pStyle w:val="Normal"/>
              <w:widowControl w:val="false"/>
              <w:spacing w:before="0" w:after="60"/>
              <w:rPr/>
            </w:pPr>
            <w:r>
              <w:rPr/>
            </w:r>
          </w:p>
          <w:p>
            <w:pPr>
              <w:pStyle w:val="Normal"/>
              <w:widowControl w:val="false"/>
              <w:spacing w:before="0" w:after="60"/>
              <w:rPr>
                <w:b w:val="false"/>
                <w:bCs w:val="false"/>
                <w:i/>
                <w:i/>
                <w:iCs/>
                <w:position w:val="-6"/>
                <w:sz w:val="18"/>
                <w:szCs w:val="18"/>
              </w:rPr>
            </w:pPr>
            <w:r>
              <w:rPr>
                <w:b w:val="false"/>
                <w:bCs w:val="false"/>
                <w:i/>
                <w:iCs/>
                <w:position w:val="-6"/>
                <w:sz w:val="18"/>
                <w:szCs w:val="18"/>
              </w:rPr>
              <w:t>[write in name of Event Organiser above– Club or companies are preferred.  Trusts will need Trust Deed that permits trading]</w:t>
            </w:r>
          </w:p>
          <w:p>
            <w:pPr>
              <w:pStyle w:val="Normal"/>
              <w:widowControl w:val="false"/>
              <w:spacing w:before="0" w:after="60"/>
              <w:rPr>
                <w:b/>
                <w:bCs/>
                <w:position w:val="-10"/>
              </w:rPr>
            </w:pPr>
            <w:r>
              <w:rPr>
                <w:b/>
                <w:bCs/>
                <w:position w:val="-10"/>
              </w:rPr>
              <w:t>the “Event Organiser')</w:t>
            </w:r>
          </w:p>
        </w:tc>
      </w:tr>
    </w:tbl>
    <w:p>
      <w:pPr>
        <w:pStyle w:val="Normal"/>
        <w:rPr>
          <w:sz w:val="24"/>
        </w:rPr>
      </w:pPr>
      <w:r>
        <w:rPr>
          <w:sz w:val="24"/>
        </w:rPr>
      </w:r>
    </w:p>
    <w:p>
      <w:pPr>
        <w:pStyle w:val="Normal"/>
        <w:jc w:val="center"/>
        <w:rPr>
          <w:b/>
          <w:bCs/>
          <w:sz w:val="24"/>
        </w:rPr>
      </w:pPr>
      <w:r>
        <w:rPr>
          <w:b/>
          <w:bCs/>
          <w:sz w:val="24"/>
        </w:rPr>
        <w:t xml:space="preserve">Guidance on Use of this </w:t>
      </w:r>
      <w:r>
        <w:rPr>
          <w:b/>
          <w:bCs/>
          <w:sz w:val="24"/>
        </w:rPr>
        <w:t xml:space="preserve">template agreement </w:t>
      </w:r>
      <w:r>
        <w:rPr>
          <w:b/>
          <w:bCs/>
          <w:sz w:val="24"/>
        </w:rPr>
        <w:t>form</w:t>
      </w:r>
    </w:p>
    <w:p>
      <w:pPr>
        <w:pStyle w:val="Normal"/>
        <w:jc w:val="center"/>
        <w:rPr>
          <w:sz w:val="24"/>
        </w:rPr>
      </w:pPr>
      <w:r>
        <w:rPr>
          <w:sz w:val="24"/>
        </w:rPr>
      </w:r>
    </w:p>
    <w:p>
      <w:pPr>
        <w:pStyle w:val="Normal"/>
        <w:numPr>
          <w:ilvl w:val="0"/>
          <w:numId w:val="17"/>
        </w:numPr>
        <w:rPr/>
      </w:pPr>
      <w:r>
        <w:rPr>
          <w:sz w:val="24"/>
        </w:rPr>
        <w:t xml:space="preserve">Rotary Oceania (the trading name for ROZops Limited) holds a master policy for event insurance for Rotary in Oceania.  </w:t>
      </w:r>
      <w:r>
        <w:rPr>
          <w:sz w:val="24"/>
        </w:rPr>
        <w:t>This enables Rotary Oceania to issue event insurance cover certificates for standard events and organise extensions for events that have special risks.</w:t>
      </w:r>
    </w:p>
    <w:p>
      <w:pPr>
        <w:pStyle w:val="Normal"/>
        <w:numPr>
          <w:ilvl w:val="0"/>
          <w:numId w:val="17"/>
        </w:numPr>
        <w:rPr/>
      </w:pPr>
      <w:r>
        <w:rPr>
          <w:sz w:val="24"/>
        </w:rPr>
        <w:t>Special risks include</w:t>
      </w:r>
      <w:r>
        <w:rPr>
          <w:sz w:val="24"/>
        </w:rPr>
        <w:t xml:space="preserve"> risk to property owners (such as Home Tours), integrating insurance and risk management with contractors (such as Stallholders) or risks where there are obligations to other parties as a result of requirements such as traffic management.</w:t>
      </w:r>
    </w:p>
    <w:p>
      <w:pPr>
        <w:pStyle w:val="Normal"/>
        <w:numPr>
          <w:ilvl w:val="0"/>
          <w:numId w:val="17"/>
        </w:numPr>
        <w:rPr>
          <w:sz w:val="24"/>
        </w:rPr>
      </w:pPr>
      <w:r>
        <w:rPr>
          <w:sz w:val="24"/>
        </w:rPr>
        <w:t>Th</w:t>
      </w:r>
      <w:r>
        <w:rPr>
          <w:sz w:val="24"/>
        </w:rPr>
        <w:t xml:space="preserve">e Event Insurance </w:t>
      </w:r>
      <w:r>
        <w:rPr>
          <w:sz w:val="24"/>
        </w:rPr>
        <w:t xml:space="preserve">policy is issued to ROZevents Limited, a wholly owned subsidiary of Rozops Limited </w:t>
      </w:r>
      <w:r>
        <w:rPr>
          <w:sz w:val="24"/>
        </w:rPr>
        <w:t>as an Event Planner.</w:t>
      </w:r>
    </w:p>
    <w:p>
      <w:pPr>
        <w:pStyle w:val="Normal"/>
        <w:numPr>
          <w:ilvl w:val="0"/>
          <w:numId w:val="17"/>
        </w:numPr>
        <w:rPr>
          <w:sz w:val="24"/>
        </w:rPr>
      </w:pPr>
      <w:r>
        <w:rPr>
          <w:sz w:val="24"/>
        </w:rPr>
        <w:t>Y</w:t>
      </w:r>
      <w:r>
        <w:rPr>
          <w:sz w:val="24"/>
        </w:rPr>
        <w:t xml:space="preserve">ou </w:t>
      </w:r>
      <w:r>
        <w:rPr>
          <w:sz w:val="24"/>
        </w:rPr>
        <w:t xml:space="preserve">are encouraged to </w:t>
      </w:r>
      <w:r>
        <w:rPr>
          <w:sz w:val="24"/>
        </w:rPr>
        <w:t xml:space="preserve">use this form as preliminary checklist </w:t>
      </w:r>
      <w:r>
        <w:rPr>
          <w:sz w:val="24"/>
        </w:rPr>
        <w:t>as it will assist you working with your District Insurance Officer (</w:t>
      </w:r>
      <w:r>
        <w:rPr>
          <w:b/>
          <w:bCs/>
          <w:sz w:val="24"/>
        </w:rPr>
        <w:t>DIO</w:t>
      </w:r>
      <w:r>
        <w:rPr>
          <w:sz w:val="24"/>
        </w:rPr>
        <w:t>) to work out whether Event Insurance is required.</w:t>
      </w:r>
    </w:p>
    <w:p>
      <w:pPr>
        <w:pStyle w:val="Normal"/>
        <w:numPr>
          <w:ilvl w:val="0"/>
          <w:numId w:val="17"/>
        </w:numPr>
        <w:rPr>
          <w:sz w:val="24"/>
        </w:rPr>
      </w:pPr>
      <w:r>
        <w:rPr>
          <w:sz w:val="24"/>
        </w:rPr>
        <w:t>Some quick guides:</w:t>
      </w:r>
    </w:p>
    <w:p>
      <w:pPr>
        <w:pStyle w:val="Normal"/>
        <w:numPr>
          <w:ilvl w:val="1"/>
          <w:numId w:val="17"/>
        </w:numPr>
        <w:rPr>
          <w:sz w:val="21"/>
          <w:szCs w:val="21"/>
        </w:rPr>
      </w:pPr>
      <w:r>
        <w:rPr>
          <w:sz w:val="21"/>
          <w:szCs w:val="21"/>
        </w:rPr>
        <w:t>S</w:t>
      </w:r>
      <w:r>
        <w:rPr>
          <w:sz w:val="21"/>
          <w:szCs w:val="21"/>
        </w:rPr>
        <w:t xml:space="preserve">tandard fund raisers such as hospitality events or </w:t>
      </w:r>
      <w:r>
        <w:rPr>
          <w:sz w:val="21"/>
          <w:szCs w:val="21"/>
        </w:rPr>
        <w:t>BBQs etc outside retail premises are usually fully covered by the general liability policy – that is a separate type of policy from event cover and is a national policy.</w:t>
      </w:r>
    </w:p>
    <w:p>
      <w:pPr>
        <w:pStyle w:val="Normal"/>
        <w:numPr>
          <w:ilvl w:val="1"/>
          <w:numId w:val="17"/>
        </w:numPr>
        <w:rPr>
          <w:sz w:val="21"/>
          <w:szCs w:val="21"/>
        </w:rPr>
      </w:pPr>
      <w:r>
        <w:rPr>
          <w:sz w:val="21"/>
          <w:szCs w:val="21"/>
        </w:rPr>
        <w:t>Standard event insurance works by being advised by ROZevents.</w:t>
      </w:r>
    </w:p>
    <w:p>
      <w:pPr>
        <w:pStyle w:val="Normal"/>
        <w:numPr>
          <w:ilvl w:val="1"/>
          <w:numId w:val="17"/>
        </w:numPr>
        <w:rPr>
          <w:sz w:val="21"/>
          <w:szCs w:val="21"/>
        </w:rPr>
      </w:pPr>
      <w:r>
        <w:rPr>
          <w:sz w:val="21"/>
          <w:szCs w:val="21"/>
        </w:rPr>
        <w:t xml:space="preserve">ROZevents </w:t>
      </w:r>
      <w:r>
        <w:rPr>
          <w:sz w:val="21"/>
          <w:szCs w:val="21"/>
        </w:rPr>
        <w:t xml:space="preserve">provides that advice </w:t>
      </w:r>
      <w:r>
        <w:rPr>
          <w:sz w:val="21"/>
          <w:szCs w:val="21"/>
        </w:rPr>
        <w:t>through this agreement.</w:t>
      </w:r>
    </w:p>
    <w:p>
      <w:pPr>
        <w:pStyle w:val="Normal"/>
        <w:numPr>
          <w:ilvl w:val="1"/>
          <w:numId w:val="17"/>
        </w:numPr>
        <w:rPr>
          <w:sz w:val="21"/>
          <w:szCs w:val="21"/>
        </w:rPr>
      </w:pPr>
      <w:r>
        <w:rPr>
          <w:sz w:val="21"/>
          <w:szCs w:val="21"/>
        </w:rPr>
        <w:t xml:space="preserve">Usually ROZevents </w:t>
      </w:r>
      <w:r>
        <w:rPr>
          <w:sz w:val="21"/>
          <w:szCs w:val="21"/>
        </w:rPr>
        <w:t>delegat</w:t>
      </w:r>
      <w:r>
        <w:rPr>
          <w:sz w:val="21"/>
          <w:szCs w:val="21"/>
        </w:rPr>
        <w:t>es</w:t>
      </w:r>
      <w:r>
        <w:rPr>
          <w:sz w:val="21"/>
          <w:szCs w:val="21"/>
        </w:rPr>
        <w:t xml:space="preserve"> management and control of the event to the organising Club, District or other Rotary entity</w:t>
      </w:r>
    </w:p>
    <w:p>
      <w:pPr>
        <w:pStyle w:val="Normal"/>
        <w:numPr>
          <w:ilvl w:val="1"/>
          <w:numId w:val="17"/>
        </w:numPr>
        <w:rPr>
          <w:sz w:val="21"/>
          <w:szCs w:val="21"/>
        </w:rPr>
      </w:pPr>
      <w:r>
        <w:rPr>
          <w:sz w:val="21"/>
          <w:szCs w:val="21"/>
        </w:rPr>
        <w:t xml:space="preserve">ROZevents can help with events that require national marketing, ticketing processes through an agreed schedule of “Event Project Management Services” </w:t>
      </w:r>
      <w:r>
        <w:rPr>
          <w:sz w:val="21"/>
          <w:szCs w:val="21"/>
        </w:rPr>
        <w:t xml:space="preserve">If the event organiser wants that assistance, </w:t>
      </w:r>
      <w:r>
        <w:rPr>
          <w:sz w:val="21"/>
          <w:szCs w:val="21"/>
        </w:rPr>
        <w:t>this agreement is used to record those services and who pays for what.</w:t>
      </w:r>
    </w:p>
    <w:p>
      <w:pPr>
        <w:pStyle w:val="Normal"/>
        <w:numPr>
          <w:ilvl w:val="1"/>
          <w:numId w:val="17"/>
        </w:numPr>
        <w:rPr>
          <w:sz w:val="21"/>
          <w:szCs w:val="21"/>
        </w:rPr>
      </w:pPr>
      <w:r>
        <w:rPr>
          <w:sz w:val="21"/>
          <w:szCs w:val="21"/>
        </w:rPr>
        <w:t xml:space="preserve">Events that have special risks, such as events that require traffic management, crowd management, use of private property or use of motor vehicles or plant and equipment are never covered by ‘general’ liability or standard event insurance.  </w:t>
      </w:r>
      <w:r>
        <w:rPr>
          <w:sz w:val="21"/>
          <w:szCs w:val="21"/>
        </w:rPr>
        <w:t>Y</w:t>
      </w:r>
      <w:r>
        <w:rPr>
          <w:sz w:val="21"/>
          <w:szCs w:val="21"/>
        </w:rPr>
        <w:t>our DILO is there to help you through with risk management and insurance.</w:t>
      </w:r>
    </w:p>
    <w:p>
      <w:pPr>
        <w:pStyle w:val="Normal"/>
        <w:numPr>
          <w:ilvl w:val="0"/>
          <w:numId w:val="0"/>
        </w:numPr>
        <w:ind w:hanging="0" w:start="720"/>
        <w:rPr>
          <w:sz w:val="21"/>
          <w:szCs w:val="21"/>
        </w:rPr>
      </w:pPr>
      <w:r>
        <w:rPr>
          <w:sz w:val="21"/>
          <w:szCs w:val="21"/>
        </w:rPr>
      </w:r>
      <w:r>
        <w:br w:type="page"/>
      </w:r>
    </w:p>
    <w:tbl>
      <w:tblPr>
        <w:tblW w:w="10211" w:type="dxa"/>
        <w:jc w:val="start"/>
        <w:tblInd w:w="-6" w:type="dxa"/>
        <w:tblLayout w:type="fixed"/>
        <w:tblCellMar>
          <w:top w:w="55" w:type="dxa"/>
          <w:start w:w="50" w:type="dxa"/>
          <w:bottom w:w="55" w:type="dxa"/>
          <w:end w:w="55" w:type="dxa"/>
        </w:tblCellMar>
      </w:tblPr>
      <w:tblGrid>
        <w:gridCol w:w="2624"/>
        <w:gridCol w:w="2528"/>
        <w:gridCol w:w="2527"/>
        <w:gridCol w:w="2532"/>
      </w:tblGrid>
      <w:tr>
        <w:trPr>
          <w:tblHeader w:val="true"/>
          <w:trHeight w:val="104" w:hRule="atLeast"/>
        </w:trPr>
        <w:tc>
          <w:tcPr>
            <w:tcW w:w="10211" w:type="dxa"/>
            <w:gridSpan w:val="4"/>
            <w:tcBorders>
              <w:top w:val="single" w:sz="4" w:space="0" w:color="000001"/>
              <w:start w:val="single" w:sz="4" w:space="0" w:color="000001"/>
              <w:bottom w:val="single" w:sz="4" w:space="0" w:color="000001"/>
              <w:end w:val="single" w:sz="4" w:space="0" w:color="000001"/>
            </w:tcBorders>
            <w:shd w:fill="2A6099" w:val="clear"/>
          </w:tcPr>
          <w:p>
            <w:pPr>
              <w:pStyle w:val="Normal"/>
              <w:pageBreakBefore/>
              <w:widowControl w:val="false"/>
              <w:spacing w:before="200" w:after="60"/>
              <w:jc w:val="center"/>
              <w:rPr>
                <w:color w:val="FFFFFF"/>
              </w:rPr>
            </w:pPr>
            <w:r>
              <w:rPr>
                <w:rFonts w:ascii="Verdana" w:hAnsi="Verdana"/>
                <w:b/>
                <w:color w:val="FFFFFF"/>
                <w:sz w:val="24"/>
                <w:szCs w:val="24"/>
              </w:rPr>
              <w:t>Event</w:t>
            </w:r>
            <w:r>
              <w:rPr>
                <w:b/>
                <w:color w:val="FFFFFF"/>
                <w:sz w:val="24"/>
                <w:szCs w:val="24"/>
              </w:rPr>
              <w:t xml:space="preserve"> </w:t>
            </w:r>
            <w:r>
              <w:rPr>
                <w:rFonts w:ascii="Verdana" w:hAnsi="Verdana"/>
                <w:b/>
                <w:color w:val="FFFFFF"/>
                <w:sz w:val="24"/>
                <w:szCs w:val="24"/>
              </w:rPr>
              <w:t>Details</w:t>
            </w:r>
          </w:p>
        </w:tc>
      </w:tr>
      <w:tr>
        <w:trPr>
          <w:trHeight w:val="104" w:hRule="atLeast"/>
        </w:trPr>
        <w:tc>
          <w:tcPr>
            <w:tcW w:w="2624" w:type="dxa"/>
            <w:tcBorders>
              <w:start w:val="single" w:sz="4" w:space="0" w:color="000001"/>
              <w:bottom w:val="single" w:sz="4" w:space="0" w:color="000001"/>
            </w:tcBorders>
          </w:tcPr>
          <w:p>
            <w:pPr>
              <w:pStyle w:val="Normal"/>
              <w:widowControl w:val="false"/>
              <w:spacing w:before="200" w:after="60"/>
              <w:rPr/>
            </w:pPr>
            <w:r>
              <w:rPr/>
              <w:t>Event Name</w:t>
            </w:r>
          </w:p>
        </w:tc>
        <w:tc>
          <w:tcPr>
            <w:tcW w:w="7587" w:type="dxa"/>
            <w:gridSpan w:val="3"/>
            <w:tcBorders>
              <w:bottom w:val="single" w:sz="4" w:space="0" w:color="000001"/>
              <w:end w:val="single" w:sz="4" w:space="0" w:color="000001"/>
            </w:tcBorders>
          </w:tcPr>
          <w:p>
            <w:pPr>
              <w:pStyle w:val="Normal"/>
              <w:widowControl w:val="false"/>
              <w:spacing w:before="200" w:after="60"/>
              <w:rPr/>
            </w:pPr>
            <w:r>
              <w:rPr/>
            </w:r>
          </w:p>
        </w:tc>
      </w:tr>
      <w:tr>
        <w:trPr>
          <w:trHeight w:val="104" w:hRule="atLeast"/>
        </w:trPr>
        <w:tc>
          <w:tcPr>
            <w:tcW w:w="2624" w:type="dxa"/>
            <w:tcBorders>
              <w:start w:val="single" w:sz="4" w:space="0" w:color="000001"/>
              <w:bottom w:val="single" w:sz="4" w:space="0" w:color="000001"/>
            </w:tcBorders>
          </w:tcPr>
          <w:p>
            <w:pPr>
              <w:pStyle w:val="Normal"/>
              <w:widowControl w:val="false"/>
              <w:spacing w:before="200" w:after="60"/>
              <w:rPr/>
            </w:pPr>
            <w:r>
              <w:rPr/>
              <w:t>Event Description</w:t>
            </w:r>
          </w:p>
        </w:tc>
        <w:tc>
          <w:tcPr>
            <w:tcW w:w="7587" w:type="dxa"/>
            <w:gridSpan w:val="3"/>
            <w:tcBorders>
              <w:bottom w:val="single" w:sz="4" w:space="0" w:color="000001"/>
              <w:end w:val="single" w:sz="4" w:space="0" w:color="000001"/>
            </w:tcBorders>
          </w:tcPr>
          <w:p>
            <w:pPr>
              <w:pStyle w:val="Normal"/>
              <w:widowControl w:val="false"/>
              <w:spacing w:before="200" w:after="60"/>
              <w:rPr/>
            </w:pPr>
            <w:r>
              <w:rPr/>
            </w:r>
          </w:p>
        </w:tc>
      </w:tr>
      <w:tr>
        <w:trPr>
          <w:trHeight w:val="104" w:hRule="atLeast"/>
        </w:trPr>
        <w:tc>
          <w:tcPr>
            <w:tcW w:w="2624" w:type="dxa"/>
            <w:tcBorders>
              <w:start w:val="single" w:sz="4" w:space="0" w:color="000001"/>
              <w:bottom w:val="single" w:sz="4" w:space="0" w:color="000001"/>
            </w:tcBorders>
          </w:tcPr>
          <w:p>
            <w:pPr>
              <w:pStyle w:val="Normal"/>
              <w:widowControl w:val="false"/>
              <w:spacing w:before="200" w:after="60"/>
              <w:rPr/>
            </w:pPr>
            <w:r>
              <w:rPr/>
              <w:t>Event Type</w:t>
            </w:r>
          </w:p>
        </w:tc>
        <w:tc>
          <w:tcPr>
            <w:tcW w:w="7587" w:type="dxa"/>
            <w:gridSpan w:val="3"/>
            <w:tcBorders>
              <w:bottom w:val="single" w:sz="4" w:space="0" w:color="000001"/>
              <w:end w:val="single" w:sz="4" w:space="0" w:color="000001"/>
            </w:tcBorders>
          </w:tcPr>
          <w:p>
            <w:pPr>
              <w:pStyle w:val="Normal"/>
              <w:widowControl w:val="false"/>
              <w:spacing w:before="200" w:after="60"/>
              <w:rPr/>
            </w:pPr>
            <w:r>
              <w:rPr/>
            </w:r>
          </w:p>
          <w:p>
            <w:pPr>
              <w:pStyle w:val="Normal"/>
              <w:widowControl w:val="false"/>
              <w:spacing w:before="200" w:after="60"/>
              <w:rPr>
                <w:i/>
                <w:i/>
                <w:iCs/>
              </w:rPr>
            </w:pPr>
            <w:r>
              <w:rPr>
                <w:i/>
                <w:iCs/>
              </w:rPr>
              <w:t xml:space="preserve">[choose type from list in Appendix 1 – write in type </w:t>
            </w:r>
            <w:r>
              <w:rPr>
                <w:i/>
                <w:iCs/>
              </w:rPr>
              <w:t xml:space="preserve">or if </w:t>
            </w:r>
            <w:r>
              <w:rPr>
                <w:i/>
                <w:iCs/>
              </w:rPr>
              <w:t xml:space="preserve">NEW </w:t>
            </w:r>
            <w:r>
              <w:rPr>
                <w:i/>
                <w:iCs/>
              </w:rPr>
              <w:t>note as NEW</w:t>
            </w:r>
            <w:r>
              <w:rPr>
                <w:i/>
                <w:iCs/>
              </w:rPr>
              <w:t>]</w:t>
            </w:r>
          </w:p>
        </w:tc>
      </w:tr>
      <w:tr>
        <w:trPr>
          <w:trHeight w:val="52" w:hRule="atLeast"/>
        </w:trPr>
        <w:tc>
          <w:tcPr>
            <w:tcW w:w="2624" w:type="dxa"/>
            <w:vMerge w:val="restart"/>
            <w:tcBorders>
              <w:start w:val="single" w:sz="4" w:space="0" w:color="000001"/>
              <w:bottom w:val="single" w:sz="4" w:space="0" w:color="000001"/>
            </w:tcBorders>
          </w:tcPr>
          <w:p>
            <w:pPr>
              <w:pStyle w:val="Normal"/>
              <w:widowControl w:val="false"/>
              <w:spacing w:before="200" w:after="60"/>
              <w:rPr/>
            </w:pPr>
            <w:r>
              <w:rPr/>
              <w:t>Term of agreement:</w:t>
            </w:r>
          </w:p>
          <w:p>
            <w:pPr>
              <w:pStyle w:val="Normal"/>
              <w:widowControl w:val="false"/>
              <w:spacing w:before="200" w:after="60"/>
              <w:rPr/>
            </w:pPr>
            <w:r>
              <w:rPr/>
            </w:r>
          </w:p>
          <w:p>
            <w:pPr>
              <w:pStyle w:val="Normal"/>
              <w:widowControl w:val="false"/>
              <w:spacing w:before="200" w:after="60"/>
              <w:rPr/>
            </w:pPr>
            <w:r>
              <w:rPr/>
              <w:t xml:space="preserve">Note:if </w:t>
            </w:r>
            <w:r>
              <w:rPr>
                <w:lang w:val="en-NZ" w:eastAsia="en-US" w:bidi="ar-SA"/>
              </w:rPr>
              <w:t>there</w:t>
            </w:r>
            <w:r>
              <w:rPr/>
              <w:t xml:space="preserve"> is a project plan or TASK list in Flectra please attach</w:t>
            </w:r>
          </w:p>
        </w:tc>
        <w:tc>
          <w:tcPr>
            <w:tcW w:w="7587" w:type="dxa"/>
            <w:gridSpan w:val="3"/>
            <w:tcBorders>
              <w:bottom w:val="single" w:sz="4" w:space="0" w:color="000001"/>
              <w:end w:val="single" w:sz="4" w:space="0" w:color="000001"/>
            </w:tcBorders>
          </w:tcPr>
          <w:p>
            <w:pPr>
              <w:pStyle w:val="Normal"/>
              <w:widowControl w:val="false"/>
              <w:spacing w:before="200" w:after="60"/>
              <w:rPr/>
            </w:pPr>
            <w:r>
              <w:rPr/>
              <w:t>For the term set out below the key dates for the Event:</w:t>
            </w:r>
          </w:p>
        </w:tc>
      </w:tr>
      <w:tr>
        <w:trPr>
          <w:trHeight w:val="8" w:hRule="atLeast"/>
        </w:trPr>
        <w:tc>
          <w:tcPr>
            <w:tcW w:w="2624" w:type="dxa"/>
            <w:vMerge w:val="continue"/>
            <w:tcBorders>
              <w:start w:val="single" w:sz="4" w:space="0" w:color="000001"/>
              <w:bottom w:val="single" w:sz="4" w:space="0" w:color="000001"/>
            </w:tcBorders>
          </w:tcPr>
          <w:p>
            <w:pPr>
              <w:pStyle w:val="Normal"/>
              <w:rPr/>
            </w:pPr>
            <w:r>
              <w:rPr/>
            </w:r>
          </w:p>
        </w:tc>
        <w:tc>
          <w:tcPr>
            <w:tcW w:w="2528" w:type="dxa"/>
            <w:tcBorders>
              <w:top w:val="single" w:sz="6" w:space="0" w:color="2A6099"/>
              <w:start w:val="single" w:sz="6" w:space="0" w:color="2A6099"/>
              <w:bottom w:val="single" w:sz="6" w:space="0" w:color="2A6099"/>
            </w:tcBorders>
          </w:tcPr>
          <w:p>
            <w:pPr>
              <w:pStyle w:val="Normal"/>
              <w:widowControl w:val="false"/>
              <w:spacing w:before="200" w:after="60"/>
              <w:jc w:val="center"/>
              <w:rPr/>
            </w:pPr>
            <w:r>
              <w:rPr/>
              <w:t>Task</w:t>
            </w:r>
          </w:p>
        </w:tc>
        <w:tc>
          <w:tcPr>
            <w:tcW w:w="2527" w:type="dxa"/>
            <w:tcBorders>
              <w:top w:val="single" w:sz="6" w:space="0" w:color="2A6099"/>
              <w:bottom w:val="single" w:sz="6" w:space="0" w:color="2A6099"/>
            </w:tcBorders>
          </w:tcPr>
          <w:p>
            <w:pPr>
              <w:pStyle w:val="Normal"/>
              <w:widowControl w:val="false"/>
              <w:spacing w:before="200" w:after="60"/>
              <w:jc w:val="center"/>
              <w:rPr/>
            </w:pPr>
            <w:r>
              <w:rPr/>
              <w:t>Date</w:t>
            </w:r>
          </w:p>
          <w:p>
            <w:pPr>
              <w:pStyle w:val="Normal"/>
              <w:widowControl w:val="false"/>
              <w:spacing w:before="200" w:after="60"/>
              <w:jc w:val="center"/>
              <w:rPr/>
            </w:pPr>
            <w:r>
              <w:rPr/>
              <w:t>dd/mm/yyyy</w:t>
            </w:r>
          </w:p>
        </w:tc>
        <w:tc>
          <w:tcPr>
            <w:tcW w:w="2532" w:type="dxa"/>
            <w:tcBorders>
              <w:top w:val="single" w:sz="6" w:space="0" w:color="2A6099"/>
              <w:bottom w:val="single" w:sz="6" w:space="0" w:color="2A6099"/>
              <w:end w:val="single" w:sz="6" w:space="0" w:color="2A6099"/>
            </w:tcBorders>
          </w:tcPr>
          <w:p>
            <w:pPr>
              <w:pStyle w:val="Normal"/>
              <w:widowControl w:val="false"/>
              <w:spacing w:before="200" w:after="60"/>
              <w:jc w:val="center"/>
              <w:rPr/>
            </w:pPr>
            <w:r>
              <w:rPr/>
              <w:t>Time</w:t>
            </w:r>
          </w:p>
          <w:p>
            <w:pPr>
              <w:pStyle w:val="Normal"/>
              <w:widowControl w:val="false"/>
              <w:spacing w:before="200" w:after="60"/>
              <w:jc w:val="center"/>
              <w:rPr/>
            </w:pPr>
            <w:r>
              <w:rPr/>
              <w:t>Note insurance covers commences at pm</w:t>
            </w:r>
          </w:p>
        </w:tc>
      </w:tr>
      <w:tr>
        <w:trPr>
          <w:trHeight w:val="8" w:hRule="atLeast"/>
        </w:trPr>
        <w:tc>
          <w:tcPr>
            <w:tcW w:w="2624" w:type="dxa"/>
            <w:vMerge w:val="continue"/>
            <w:tcBorders>
              <w:start w:val="single" w:sz="4" w:space="0" w:color="000001"/>
              <w:bottom w:val="single" w:sz="4" w:space="0" w:color="000001"/>
            </w:tcBorders>
          </w:tcPr>
          <w:p>
            <w:pPr>
              <w:pStyle w:val="Normal"/>
              <w:rPr/>
            </w:pPr>
            <w:r>
              <w:rPr/>
            </w:r>
          </w:p>
        </w:tc>
        <w:tc>
          <w:tcPr>
            <w:tcW w:w="2528" w:type="dxa"/>
            <w:tcBorders>
              <w:start w:val="single" w:sz="6" w:space="0" w:color="2A6099"/>
              <w:bottom w:val="single" w:sz="6" w:space="0" w:color="2A6099"/>
            </w:tcBorders>
          </w:tcPr>
          <w:p>
            <w:pPr>
              <w:pStyle w:val="Normal"/>
              <w:widowControl w:val="false"/>
              <w:spacing w:before="200" w:after="60"/>
              <w:rPr>
                <w:sz w:val="28"/>
                <w:szCs w:val="28"/>
              </w:rPr>
            </w:pPr>
            <w:r>
              <w:rPr>
                <w:sz w:val="28"/>
                <w:szCs w:val="28"/>
              </w:rPr>
              <w:t>Start</w:t>
            </w:r>
          </w:p>
        </w:tc>
        <w:tc>
          <w:tcPr>
            <w:tcW w:w="2527" w:type="dxa"/>
            <w:tcBorders>
              <w:bottom w:val="single" w:sz="6" w:space="0" w:color="2A6099"/>
            </w:tcBorders>
          </w:tcPr>
          <w:p>
            <w:pPr>
              <w:pStyle w:val="Normal"/>
              <w:widowControl w:val="false"/>
              <w:spacing w:before="200" w:after="60"/>
              <w:jc w:val="center"/>
              <w:rPr>
                <w:sz w:val="28"/>
                <w:szCs w:val="28"/>
                <w:u w:val="single"/>
              </w:rPr>
            </w:pPr>
            <w:r>
              <w:rPr>
                <w:sz w:val="28"/>
                <w:szCs w:val="28"/>
                <w:u w:val="single"/>
              </w:rPr>
              <w:t xml:space="preserve">  </w:t>
            </w:r>
            <w:r>
              <w:rPr>
                <w:sz w:val="28"/>
                <w:szCs w:val="28"/>
                <w:u w:val="single"/>
              </w:rPr>
              <w:t>/  /</w:t>
            </w:r>
          </w:p>
        </w:tc>
        <w:tc>
          <w:tcPr>
            <w:tcW w:w="2532" w:type="dxa"/>
            <w:tcBorders>
              <w:bottom w:val="single" w:sz="6" w:space="0" w:color="2A6099"/>
              <w:end w:val="single" w:sz="6" w:space="0" w:color="2A6099"/>
            </w:tcBorders>
            <w:vAlign w:val="bottom"/>
          </w:tcPr>
          <w:p>
            <w:pPr>
              <w:pStyle w:val="Normal"/>
              <w:widowControl w:val="false"/>
              <w:spacing w:before="200" w:after="60"/>
              <w:jc w:val="center"/>
              <w:rPr>
                <w:sz w:val="28"/>
                <w:szCs w:val="28"/>
              </w:rPr>
            </w:pPr>
            <w:r>
              <w:rPr>
                <w:sz w:val="28"/>
                <w:szCs w:val="28"/>
              </w:rPr>
              <w:t>16:00:00</w:t>
            </w:r>
          </w:p>
        </w:tc>
      </w:tr>
      <w:tr>
        <w:trPr>
          <w:trHeight w:val="8" w:hRule="atLeast"/>
        </w:trPr>
        <w:tc>
          <w:tcPr>
            <w:tcW w:w="2624" w:type="dxa"/>
            <w:vMerge w:val="continue"/>
            <w:tcBorders>
              <w:start w:val="single" w:sz="4" w:space="0" w:color="000001"/>
              <w:bottom w:val="single" w:sz="4" w:space="0" w:color="000001"/>
            </w:tcBorders>
          </w:tcPr>
          <w:p>
            <w:pPr>
              <w:pStyle w:val="Normal"/>
              <w:rPr/>
            </w:pPr>
            <w:r>
              <w:rPr/>
            </w:r>
          </w:p>
        </w:tc>
        <w:tc>
          <w:tcPr>
            <w:tcW w:w="2528" w:type="dxa"/>
            <w:tcBorders>
              <w:start w:val="single" w:sz="6" w:space="0" w:color="2A6099"/>
              <w:bottom w:val="single" w:sz="6" w:space="0" w:color="2A6099"/>
            </w:tcBorders>
          </w:tcPr>
          <w:p>
            <w:pPr>
              <w:pStyle w:val="Normal"/>
              <w:widowControl w:val="false"/>
              <w:spacing w:before="200" w:after="60"/>
              <w:rPr>
                <w:sz w:val="28"/>
                <w:szCs w:val="28"/>
              </w:rPr>
            </w:pPr>
            <w:r>
              <w:rPr>
                <w:sz w:val="28"/>
                <w:szCs w:val="28"/>
              </w:rPr>
              <w:t>Open to Public</w:t>
            </w:r>
          </w:p>
        </w:tc>
        <w:tc>
          <w:tcPr>
            <w:tcW w:w="2527" w:type="dxa"/>
            <w:tcBorders>
              <w:bottom w:val="single" w:sz="6" w:space="0" w:color="2A6099"/>
            </w:tcBorders>
          </w:tcPr>
          <w:p>
            <w:pPr>
              <w:pStyle w:val="Normal"/>
              <w:widowControl w:val="false"/>
              <w:spacing w:before="200" w:after="60"/>
              <w:jc w:val="center"/>
              <w:rPr>
                <w:sz w:val="28"/>
                <w:szCs w:val="28"/>
                <w:u w:val="single"/>
              </w:rPr>
            </w:pPr>
            <w:r>
              <w:rPr>
                <w:sz w:val="28"/>
                <w:szCs w:val="28"/>
                <w:u w:val="single"/>
              </w:rPr>
              <w:t xml:space="preserve">  </w:t>
            </w:r>
            <w:r>
              <w:rPr>
                <w:sz w:val="28"/>
                <w:szCs w:val="28"/>
                <w:u w:val="single"/>
              </w:rPr>
              <w:t>/  /</w:t>
            </w:r>
          </w:p>
        </w:tc>
        <w:tc>
          <w:tcPr>
            <w:tcW w:w="2532" w:type="dxa"/>
            <w:tcBorders>
              <w:bottom w:val="single" w:sz="6" w:space="0" w:color="2A6099"/>
              <w:end w:val="single" w:sz="6" w:space="0" w:color="2A6099"/>
            </w:tcBorders>
            <w:vAlign w:val="bottom"/>
          </w:tcPr>
          <w:p>
            <w:pPr>
              <w:pStyle w:val="Normal"/>
              <w:widowControl w:val="false"/>
              <w:spacing w:before="200" w:after="60"/>
              <w:jc w:val="center"/>
              <w:rPr>
                <w:sz w:val="28"/>
                <w:szCs w:val="28"/>
              </w:rPr>
            </w:pPr>
            <w:r>
              <w:rPr>
                <w:sz w:val="28"/>
                <w:szCs w:val="28"/>
              </w:rPr>
              <w:t>00:00:00</w:t>
            </w:r>
          </w:p>
        </w:tc>
      </w:tr>
      <w:tr>
        <w:trPr>
          <w:trHeight w:val="8" w:hRule="atLeast"/>
        </w:trPr>
        <w:tc>
          <w:tcPr>
            <w:tcW w:w="2624" w:type="dxa"/>
            <w:vMerge w:val="continue"/>
            <w:tcBorders>
              <w:start w:val="single" w:sz="4" w:space="0" w:color="000001"/>
              <w:bottom w:val="single" w:sz="4" w:space="0" w:color="000001"/>
            </w:tcBorders>
          </w:tcPr>
          <w:p>
            <w:pPr>
              <w:pStyle w:val="Normal"/>
              <w:rPr/>
            </w:pPr>
            <w:r>
              <w:rPr/>
            </w:r>
          </w:p>
        </w:tc>
        <w:tc>
          <w:tcPr>
            <w:tcW w:w="2528" w:type="dxa"/>
            <w:tcBorders>
              <w:start w:val="single" w:sz="6" w:space="0" w:color="2A6099"/>
              <w:bottom w:val="single" w:sz="6" w:space="0" w:color="2A6099"/>
            </w:tcBorders>
          </w:tcPr>
          <w:p>
            <w:pPr>
              <w:pStyle w:val="Normal"/>
              <w:widowControl w:val="false"/>
              <w:spacing w:before="200" w:after="60"/>
              <w:rPr>
                <w:sz w:val="28"/>
                <w:szCs w:val="28"/>
              </w:rPr>
            </w:pPr>
            <w:r>
              <w:rPr>
                <w:sz w:val="28"/>
                <w:szCs w:val="28"/>
              </w:rPr>
              <w:t>Close to Public</w:t>
            </w:r>
          </w:p>
        </w:tc>
        <w:tc>
          <w:tcPr>
            <w:tcW w:w="2527" w:type="dxa"/>
            <w:tcBorders>
              <w:bottom w:val="single" w:sz="6" w:space="0" w:color="2A6099"/>
            </w:tcBorders>
          </w:tcPr>
          <w:p>
            <w:pPr>
              <w:pStyle w:val="Normal"/>
              <w:widowControl w:val="false"/>
              <w:spacing w:before="200" w:after="60"/>
              <w:jc w:val="center"/>
              <w:rPr>
                <w:sz w:val="28"/>
                <w:szCs w:val="28"/>
                <w:u w:val="single"/>
              </w:rPr>
            </w:pPr>
            <w:r>
              <w:rPr>
                <w:sz w:val="28"/>
                <w:szCs w:val="28"/>
                <w:u w:val="single"/>
              </w:rPr>
              <w:t xml:space="preserve">  </w:t>
            </w:r>
            <w:r>
              <w:rPr>
                <w:sz w:val="28"/>
                <w:szCs w:val="28"/>
                <w:u w:val="single"/>
              </w:rPr>
              <w:t>/  /</w:t>
            </w:r>
          </w:p>
        </w:tc>
        <w:tc>
          <w:tcPr>
            <w:tcW w:w="2532" w:type="dxa"/>
            <w:tcBorders>
              <w:bottom w:val="single" w:sz="6" w:space="0" w:color="2A6099"/>
              <w:end w:val="single" w:sz="6" w:space="0" w:color="2A6099"/>
            </w:tcBorders>
            <w:vAlign w:val="bottom"/>
          </w:tcPr>
          <w:p>
            <w:pPr>
              <w:pStyle w:val="Normal"/>
              <w:widowControl w:val="false"/>
              <w:spacing w:before="200" w:after="60"/>
              <w:jc w:val="center"/>
              <w:rPr>
                <w:sz w:val="28"/>
                <w:szCs w:val="28"/>
              </w:rPr>
            </w:pPr>
            <w:r>
              <w:rPr>
                <w:sz w:val="28"/>
                <w:szCs w:val="28"/>
              </w:rPr>
              <w:t>00:00:00</w:t>
            </w:r>
          </w:p>
        </w:tc>
      </w:tr>
      <w:tr>
        <w:trPr>
          <w:trHeight w:val="8" w:hRule="atLeast"/>
        </w:trPr>
        <w:tc>
          <w:tcPr>
            <w:tcW w:w="2624" w:type="dxa"/>
            <w:vMerge w:val="continue"/>
            <w:tcBorders>
              <w:start w:val="single" w:sz="4" w:space="0" w:color="000001"/>
              <w:bottom w:val="single" w:sz="4" w:space="0" w:color="000001"/>
            </w:tcBorders>
          </w:tcPr>
          <w:p>
            <w:pPr>
              <w:pStyle w:val="Normal"/>
              <w:rPr/>
            </w:pPr>
            <w:r>
              <w:rPr/>
            </w:r>
          </w:p>
        </w:tc>
        <w:tc>
          <w:tcPr>
            <w:tcW w:w="2528" w:type="dxa"/>
            <w:tcBorders>
              <w:start w:val="single" w:sz="6" w:space="0" w:color="2A6099"/>
              <w:bottom w:val="single" w:sz="6" w:space="0" w:color="2A6099"/>
            </w:tcBorders>
          </w:tcPr>
          <w:p>
            <w:pPr>
              <w:pStyle w:val="Normal"/>
              <w:widowControl w:val="false"/>
              <w:spacing w:before="200" w:after="60"/>
              <w:rPr>
                <w:sz w:val="28"/>
                <w:szCs w:val="28"/>
              </w:rPr>
            </w:pPr>
            <w:r>
              <w:rPr>
                <w:sz w:val="28"/>
                <w:szCs w:val="28"/>
              </w:rPr>
              <w:t>Packdown</w:t>
            </w:r>
          </w:p>
        </w:tc>
        <w:tc>
          <w:tcPr>
            <w:tcW w:w="2527" w:type="dxa"/>
            <w:tcBorders>
              <w:bottom w:val="single" w:sz="6" w:space="0" w:color="2A6099"/>
            </w:tcBorders>
          </w:tcPr>
          <w:p>
            <w:pPr>
              <w:pStyle w:val="Normal"/>
              <w:widowControl w:val="false"/>
              <w:spacing w:before="200" w:after="60"/>
              <w:jc w:val="center"/>
              <w:rPr>
                <w:sz w:val="28"/>
                <w:szCs w:val="28"/>
                <w:u w:val="single"/>
              </w:rPr>
            </w:pPr>
            <w:r>
              <w:rPr>
                <w:sz w:val="28"/>
                <w:szCs w:val="28"/>
                <w:u w:val="single"/>
              </w:rPr>
              <w:t xml:space="preserve">  </w:t>
            </w:r>
            <w:r>
              <w:rPr>
                <w:sz w:val="28"/>
                <w:szCs w:val="28"/>
                <w:u w:val="single"/>
              </w:rPr>
              <w:t>/  /</w:t>
            </w:r>
          </w:p>
        </w:tc>
        <w:tc>
          <w:tcPr>
            <w:tcW w:w="2532" w:type="dxa"/>
            <w:tcBorders>
              <w:bottom w:val="single" w:sz="6" w:space="0" w:color="2A6099"/>
              <w:end w:val="single" w:sz="6" w:space="0" w:color="2A6099"/>
            </w:tcBorders>
            <w:vAlign w:val="bottom"/>
          </w:tcPr>
          <w:p>
            <w:pPr>
              <w:pStyle w:val="Normal"/>
              <w:widowControl w:val="false"/>
              <w:spacing w:before="200" w:after="60"/>
              <w:jc w:val="center"/>
              <w:rPr>
                <w:sz w:val="28"/>
                <w:szCs w:val="28"/>
              </w:rPr>
            </w:pPr>
            <w:r>
              <w:rPr>
                <w:sz w:val="28"/>
                <w:szCs w:val="28"/>
              </w:rPr>
              <w:t>00:00:00</w:t>
            </w:r>
          </w:p>
        </w:tc>
      </w:tr>
      <w:tr>
        <w:trPr>
          <w:trHeight w:val="8" w:hRule="atLeast"/>
        </w:trPr>
        <w:tc>
          <w:tcPr>
            <w:tcW w:w="2624" w:type="dxa"/>
            <w:vMerge w:val="continue"/>
            <w:tcBorders>
              <w:start w:val="single" w:sz="4" w:space="0" w:color="000001"/>
              <w:bottom w:val="single" w:sz="4" w:space="0" w:color="000001"/>
            </w:tcBorders>
          </w:tcPr>
          <w:p>
            <w:pPr>
              <w:pStyle w:val="Normal"/>
              <w:rPr/>
            </w:pPr>
            <w:r>
              <w:rPr/>
            </w:r>
          </w:p>
        </w:tc>
        <w:tc>
          <w:tcPr>
            <w:tcW w:w="2528" w:type="dxa"/>
            <w:tcBorders>
              <w:start w:val="single" w:sz="6" w:space="0" w:color="2A6099"/>
              <w:bottom w:val="single" w:sz="6" w:space="0" w:color="2A6099"/>
            </w:tcBorders>
          </w:tcPr>
          <w:p>
            <w:pPr>
              <w:pStyle w:val="Normal"/>
              <w:widowControl w:val="false"/>
              <w:spacing w:before="200" w:after="60"/>
              <w:rPr>
                <w:sz w:val="28"/>
                <w:szCs w:val="28"/>
              </w:rPr>
            </w:pPr>
            <w:r>
              <w:rPr>
                <w:sz w:val="28"/>
                <w:szCs w:val="28"/>
              </w:rPr>
              <w:t>End of Event</w:t>
            </w:r>
          </w:p>
        </w:tc>
        <w:tc>
          <w:tcPr>
            <w:tcW w:w="2527" w:type="dxa"/>
            <w:tcBorders>
              <w:bottom w:val="single" w:sz="6" w:space="0" w:color="2A6099"/>
            </w:tcBorders>
          </w:tcPr>
          <w:p>
            <w:pPr>
              <w:pStyle w:val="Normal"/>
              <w:widowControl w:val="false"/>
              <w:spacing w:before="200" w:after="60"/>
              <w:jc w:val="center"/>
              <w:rPr>
                <w:sz w:val="28"/>
                <w:szCs w:val="28"/>
                <w:u w:val="single"/>
              </w:rPr>
            </w:pPr>
            <w:r>
              <w:rPr>
                <w:sz w:val="28"/>
                <w:szCs w:val="28"/>
                <w:u w:val="single"/>
              </w:rPr>
              <w:t xml:space="preserve">  </w:t>
            </w:r>
            <w:r>
              <w:rPr>
                <w:sz w:val="28"/>
                <w:szCs w:val="28"/>
                <w:u w:val="single"/>
              </w:rPr>
              <w:t>/  /</w:t>
            </w:r>
          </w:p>
        </w:tc>
        <w:tc>
          <w:tcPr>
            <w:tcW w:w="2532" w:type="dxa"/>
            <w:tcBorders>
              <w:bottom w:val="single" w:sz="6" w:space="0" w:color="2A6099"/>
              <w:end w:val="single" w:sz="6" w:space="0" w:color="2A6099"/>
            </w:tcBorders>
            <w:vAlign w:val="bottom"/>
          </w:tcPr>
          <w:p>
            <w:pPr>
              <w:pStyle w:val="Normal"/>
              <w:widowControl w:val="false"/>
              <w:spacing w:before="200" w:after="60"/>
              <w:jc w:val="center"/>
              <w:rPr>
                <w:sz w:val="28"/>
                <w:szCs w:val="28"/>
              </w:rPr>
            </w:pPr>
            <w:r>
              <w:rPr>
                <w:sz w:val="28"/>
                <w:szCs w:val="28"/>
              </w:rPr>
              <w:t>00:00:00</w:t>
            </w:r>
          </w:p>
        </w:tc>
      </w:tr>
      <w:tr>
        <w:trPr>
          <w:trHeight w:val="104" w:hRule="atLeast"/>
        </w:trPr>
        <w:tc>
          <w:tcPr>
            <w:tcW w:w="2624" w:type="dxa"/>
            <w:tcBorders>
              <w:top w:val="single" w:sz="4" w:space="0" w:color="000001"/>
              <w:start w:val="single" w:sz="4" w:space="0" w:color="000001"/>
              <w:bottom w:val="single" w:sz="4" w:space="0" w:color="000001"/>
            </w:tcBorders>
          </w:tcPr>
          <w:p>
            <w:pPr>
              <w:pStyle w:val="Normal"/>
              <w:widowControl w:val="false"/>
              <w:spacing w:before="200" w:after="60"/>
              <w:rPr/>
            </w:pPr>
            <w:r>
              <w:rPr>
                <w:rFonts w:ascii="Verdana" w:hAnsi="Verdana"/>
              </w:rPr>
              <w:t xml:space="preserve">Event </w:t>
            </w:r>
            <w:r>
              <w:rPr/>
              <w:t>location</w:t>
            </w:r>
          </w:p>
        </w:tc>
        <w:tc>
          <w:tcPr>
            <w:tcW w:w="7587" w:type="dxa"/>
            <w:gridSpan w:val="3"/>
            <w:tcBorders>
              <w:top w:val="single" w:sz="4" w:space="0" w:color="000001"/>
              <w:bottom w:val="single" w:sz="4" w:space="0" w:color="000001"/>
              <w:end w:val="single" w:sz="4" w:space="0" w:color="000001"/>
            </w:tcBorders>
          </w:tcPr>
          <w:p>
            <w:pPr>
              <w:pStyle w:val="Normal"/>
              <w:widowControl w:val="false"/>
              <w:spacing w:before="200" w:after="60"/>
              <w:rPr/>
            </w:pPr>
            <w:r>
              <w:rPr/>
            </w:r>
          </w:p>
        </w:tc>
      </w:tr>
      <w:tr>
        <w:trPr/>
        <w:tc>
          <w:tcPr>
            <w:tcW w:w="2624" w:type="dxa"/>
            <w:tcBorders>
              <w:top w:val="single" w:sz="4" w:space="0" w:color="000001"/>
              <w:start w:val="single" w:sz="2" w:space="0" w:color="000001"/>
              <w:bottom w:val="single" w:sz="4" w:space="0" w:color="000001"/>
            </w:tcBorders>
            <w:tcMar>
              <w:start w:w="52" w:type="dxa"/>
            </w:tcMar>
          </w:tcPr>
          <w:p>
            <w:pPr>
              <w:pStyle w:val="Normal"/>
              <w:widowControl w:val="false"/>
              <w:spacing w:before="200" w:after="60"/>
              <w:rPr/>
            </w:pPr>
            <w:r>
              <w:rPr>
                <w:rFonts w:ascii="Verdana" w:hAnsi="Verdana"/>
              </w:rPr>
              <w:t xml:space="preserve">Event </w:t>
            </w:r>
            <w:r>
              <w:rPr/>
              <w:t>IP releases</w:t>
            </w:r>
          </w:p>
        </w:tc>
        <w:tc>
          <w:tcPr>
            <w:tcW w:w="7587" w:type="dxa"/>
            <w:gridSpan w:val="3"/>
            <w:tcBorders>
              <w:top w:val="single" w:sz="4" w:space="0" w:color="000001"/>
              <w:bottom w:val="single" w:sz="4" w:space="0" w:color="000001"/>
              <w:end w:val="single" w:sz="2" w:space="0" w:color="000001"/>
            </w:tcBorders>
          </w:tcPr>
          <w:p>
            <w:pPr>
              <w:pStyle w:val="Normal"/>
              <w:widowControl w:val="false"/>
              <w:rPr/>
            </w:pPr>
            <w:r>
              <w:rPr/>
              <w:t>Images and logo's of Event Organiser to add to social media sites (such as Facebook), other websites associated with Event Organiser in accordance with Event Organiser's Guidelines</w:t>
            </w:r>
          </w:p>
        </w:tc>
      </w:tr>
      <w:tr>
        <w:trPr/>
        <w:tc>
          <w:tcPr>
            <w:tcW w:w="2624" w:type="dxa"/>
            <w:tcBorders>
              <w:top w:val="single" w:sz="4" w:space="0" w:color="000001"/>
              <w:start w:val="single" w:sz="4" w:space="0" w:color="000001"/>
              <w:bottom w:val="single" w:sz="4" w:space="0" w:color="000001"/>
            </w:tcBorders>
            <w:tcMar>
              <w:top w:w="0" w:type="dxa"/>
              <w:start w:w="103" w:type="dxa"/>
              <w:bottom w:w="0" w:type="dxa"/>
              <w:end w:w="108" w:type="dxa"/>
            </w:tcMar>
          </w:tcPr>
          <w:p>
            <w:pPr>
              <w:pStyle w:val="Normal"/>
              <w:widowControl w:val="false"/>
              <w:spacing w:before="200" w:after="60"/>
              <w:rPr/>
            </w:pPr>
            <w:r>
              <w:rPr/>
              <w:t>ROZevent fee (includes insurance)</w:t>
            </w:r>
          </w:p>
        </w:tc>
        <w:tc>
          <w:tcPr>
            <w:tcW w:w="7587" w:type="dxa"/>
            <w:gridSpan w:val="3"/>
            <w:tcBorders>
              <w:top w:val="single" w:sz="4" w:space="0" w:color="000001"/>
              <w:bottom w:val="single" w:sz="4" w:space="0" w:color="000001"/>
              <w:end w:val="single" w:sz="4" w:space="0" w:color="000001"/>
            </w:tcBorders>
            <w:tcMar>
              <w:top w:w="0" w:type="dxa"/>
              <w:start w:w="108" w:type="dxa"/>
              <w:bottom w:w="0" w:type="dxa"/>
              <w:end w:w="108" w:type="dxa"/>
            </w:tcMar>
          </w:tcPr>
          <w:p>
            <w:pPr>
              <w:pStyle w:val="Normal"/>
              <w:widowControl w:val="false"/>
              <w:rPr/>
            </w:pPr>
            <w:r>
              <w:rPr/>
            </w:r>
          </w:p>
          <w:p>
            <w:pPr>
              <w:pStyle w:val="Normal"/>
              <w:widowControl w:val="false"/>
              <w:ind w:hanging="340" w:start="397" w:end="0"/>
              <w:rPr>
                <w:rFonts w:ascii="Verdana" w:hAnsi="Verdana"/>
              </w:rPr>
            </w:pPr>
            <w:r>
              <w:rPr>
                <w:rFonts w:ascii="Verdana" w:hAnsi="Verdana"/>
              </w:rPr>
            </w:r>
          </w:p>
        </w:tc>
      </w:tr>
      <w:tr>
        <w:trPr/>
        <w:tc>
          <w:tcPr>
            <w:tcW w:w="2624" w:type="dxa"/>
            <w:tcBorders>
              <w:top w:val="single" w:sz="4" w:space="0" w:color="000001"/>
              <w:start w:val="single" w:sz="4" w:space="0" w:color="000001"/>
              <w:bottom w:val="single" w:sz="4" w:space="0" w:color="000001"/>
            </w:tcBorders>
            <w:tcMar>
              <w:top w:w="0" w:type="dxa"/>
              <w:start w:w="103" w:type="dxa"/>
              <w:bottom w:w="0" w:type="dxa"/>
              <w:end w:w="108" w:type="dxa"/>
            </w:tcMar>
          </w:tcPr>
          <w:p>
            <w:pPr>
              <w:pStyle w:val="Normal"/>
              <w:widowControl w:val="false"/>
              <w:spacing w:before="200" w:after="60"/>
              <w:rPr/>
            </w:pPr>
            <w:r>
              <w:rPr/>
              <w:t>ROZevents Deliverables</w:t>
            </w:r>
          </w:p>
        </w:tc>
        <w:tc>
          <w:tcPr>
            <w:tcW w:w="7587" w:type="dxa"/>
            <w:gridSpan w:val="3"/>
            <w:tcBorders>
              <w:top w:val="single" w:sz="4" w:space="0" w:color="000001"/>
              <w:bottom w:val="single" w:sz="4" w:space="0" w:color="000001"/>
              <w:end w:val="single" w:sz="4" w:space="0" w:color="000001"/>
            </w:tcBorders>
            <w:tcMar>
              <w:top w:w="0" w:type="dxa"/>
              <w:start w:w="108" w:type="dxa"/>
              <w:bottom w:w="0" w:type="dxa"/>
              <w:end w:w="108" w:type="dxa"/>
            </w:tcMar>
          </w:tcPr>
          <w:p>
            <w:pPr>
              <w:pStyle w:val="Normal"/>
              <w:widowControl w:val="false"/>
              <w:rPr/>
            </w:pPr>
            <w:r>
              <w:rPr/>
            </w:r>
          </w:p>
          <w:p>
            <w:pPr>
              <w:pStyle w:val="Normal"/>
              <w:widowControl w:val="false"/>
              <w:numPr>
                <w:ilvl w:val="0"/>
                <w:numId w:val="11"/>
              </w:numPr>
              <w:ind w:hanging="340" w:start="397" w:end="0"/>
              <w:rPr/>
            </w:pPr>
            <w:r>
              <w:rPr>
                <w:rFonts w:ascii="Verdana" w:hAnsi="Verdana"/>
              </w:rPr>
              <w:t>generally as set out in the next section titled “</w:t>
            </w:r>
            <w:r>
              <w:rPr>
                <w:rFonts w:ascii="Verdana" w:hAnsi="Verdana"/>
                <w:b/>
                <w:sz w:val="24"/>
                <w:szCs w:val="24"/>
              </w:rPr>
              <w:t>Event Project Management Services”</w:t>
            </w:r>
          </w:p>
          <w:p>
            <w:pPr>
              <w:pStyle w:val="Normal"/>
              <w:widowControl w:val="false"/>
              <w:numPr>
                <w:ilvl w:val="0"/>
                <w:numId w:val="11"/>
              </w:numPr>
              <w:ind w:hanging="340" w:start="397" w:end="0"/>
              <w:rPr>
                <w:rFonts w:ascii="Verdana" w:hAnsi="Verdana"/>
              </w:rPr>
            </w:pPr>
            <w:r>
              <w:rPr>
                <w:rFonts w:ascii="Verdana" w:hAnsi="Verdana"/>
              </w:rPr>
              <w:t>specifically:</w:t>
            </w:r>
          </w:p>
          <w:p>
            <w:pPr>
              <w:pStyle w:val="Normal"/>
              <w:widowControl w:val="false"/>
              <w:numPr>
                <w:ilvl w:val="3"/>
                <w:numId w:val="12"/>
              </w:numPr>
              <w:ind w:hanging="340" w:start="397" w:end="0"/>
              <w:rPr>
                <w:rFonts w:ascii="Verdana" w:hAnsi="Verdana"/>
              </w:rPr>
            </w:pPr>
            <w:r>
              <w:rPr>
                <w:rFonts w:ascii="Verdana" w:hAnsi="Verdana"/>
              </w:rPr>
              <w:t>the services allocated to ROZevents on any project plan</w:t>
            </w:r>
          </w:p>
          <w:p>
            <w:pPr>
              <w:pStyle w:val="Normal"/>
              <w:widowControl w:val="false"/>
              <w:numPr>
                <w:ilvl w:val="3"/>
                <w:numId w:val="12"/>
              </w:numPr>
              <w:ind w:hanging="340" w:start="397" w:end="0"/>
              <w:rPr>
                <w:rFonts w:ascii="Verdana" w:hAnsi="Verdana"/>
              </w:rPr>
            </w:pPr>
            <w:r>
              <w:rPr>
                <w:rFonts w:ascii="Verdana" w:hAnsi="Verdana"/>
              </w:rPr>
              <w:t>the services agreed in Co-Chaired Event Project Control Group Meetings as documented in the minutes</w:t>
            </w:r>
          </w:p>
          <w:p>
            <w:pPr>
              <w:pStyle w:val="Normal"/>
              <w:widowControl w:val="false"/>
              <w:ind w:hanging="0" w:start="720" w:end="0"/>
              <w:rPr/>
            </w:pPr>
            <w:r>
              <w:rPr/>
            </w:r>
          </w:p>
        </w:tc>
      </w:tr>
      <w:tr>
        <w:trPr>
          <w:trHeight w:val="5097" w:hRule="atLeast"/>
        </w:trPr>
        <w:tc>
          <w:tcPr>
            <w:tcW w:w="2624" w:type="dxa"/>
            <w:tcBorders>
              <w:top w:val="single" w:sz="4" w:space="0" w:color="000001"/>
              <w:start w:val="single" w:sz="4" w:space="0" w:color="000001"/>
              <w:bottom w:val="single" w:sz="4" w:space="0" w:color="000001"/>
            </w:tcBorders>
            <w:tcMar>
              <w:top w:w="0" w:type="dxa"/>
              <w:start w:w="103" w:type="dxa"/>
              <w:bottom w:w="0" w:type="dxa"/>
              <w:end w:w="108" w:type="dxa"/>
            </w:tcMar>
          </w:tcPr>
          <w:p>
            <w:pPr>
              <w:pStyle w:val="Normal"/>
              <w:widowControl w:val="false"/>
              <w:spacing w:before="200" w:after="60"/>
              <w:rPr/>
            </w:pPr>
            <w:r>
              <w:rPr/>
              <w:t>ROZevents and Event Organiser Commitments on Promotion of Event Organiser</w:t>
            </w:r>
          </w:p>
        </w:tc>
        <w:tc>
          <w:tcPr>
            <w:tcW w:w="7587" w:type="dxa"/>
            <w:gridSpan w:val="3"/>
            <w:tcBorders>
              <w:top w:val="single" w:sz="4" w:space="0" w:color="000001"/>
              <w:bottom w:val="single" w:sz="4" w:space="0" w:color="000001"/>
              <w:end w:val="single" w:sz="4" w:space="0" w:color="000001"/>
            </w:tcBorders>
            <w:tcMar>
              <w:top w:w="0" w:type="dxa"/>
              <w:start w:w="108" w:type="dxa"/>
              <w:bottom w:w="0" w:type="dxa"/>
              <w:end w:w="108" w:type="dxa"/>
            </w:tcMar>
          </w:tcPr>
          <w:p>
            <w:pPr>
              <w:pStyle w:val="Normal"/>
              <w:widowControl w:val="false"/>
              <w:numPr>
                <w:ilvl w:val="0"/>
                <w:numId w:val="6"/>
              </w:numPr>
              <w:ind w:hanging="340" w:start="397" w:end="0"/>
              <w:rPr/>
            </w:pPr>
            <w:r>
              <w:rPr>
                <w:b/>
                <w:bCs/>
              </w:rPr>
              <w:t>Mutual Acknowledgement of Event Organiser</w:t>
            </w:r>
            <w:r>
              <w:rPr/>
              <w:t xml:space="preserve"> – Each party is to:</w:t>
            </w:r>
          </w:p>
          <w:p>
            <w:pPr>
              <w:pStyle w:val="Normal"/>
              <w:widowControl w:val="false"/>
              <w:ind w:hanging="0" w:start="777" w:end="0"/>
              <w:rPr/>
            </w:pPr>
            <w:r>
              <w:rPr/>
            </w:r>
          </w:p>
          <w:p>
            <w:pPr>
              <w:pStyle w:val="Normal"/>
              <w:widowControl w:val="false"/>
              <w:numPr>
                <w:ilvl w:val="0"/>
                <w:numId w:val="7"/>
              </w:numPr>
              <w:ind w:hanging="340" w:start="397" w:end="0"/>
              <w:rPr/>
            </w:pPr>
            <w:r>
              <w:rPr/>
              <w:t xml:space="preserve">Credit the other by acknowledging the Event Organiser in all press releases and communications (including posters). </w:t>
              <w:br/>
            </w:r>
          </w:p>
          <w:p>
            <w:pPr>
              <w:pStyle w:val="Normal"/>
              <w:widowControl w:val="false"/>
              <w:numPr>
                <w:ilvl w:val="0"/>
                <w:numId w:val="7"/>
              </w:numPr>
              <w:ind w:hanging="340" w:start="397" w:end="0"/>
              <w:rPr/>
            </w:pPr>
            <w:r>
              <w:rPr/>
              <w:t>Supply representative artwork to the other and license such artwork to the other to use during the term of this agreement.</w:t>
              <w:br/>
            </w:r>
          </w:p>
          <w:p>
            <w:pPr>
              <w:pStyle w:val="Normal"/>
              <w:widowControl w:val="false"/>
              <w:numPr>
                <w:ilvl w:val="0"/>
                <w:numId w:val="7"/>
              </w:numPr>
              <w:ind w:hanging="340" w:start="397" w:end="0"/>
              <w:rPr/>
            </w:pPr>
            <w:r>
              <w:rPr/>
              <w:t>On termination each party may remove the reference to the other and each may in addition require the other to remove its logo or photographic representations from all material that can be amended such as on websites.   Any items that are of a permanent nature or subject to run out (such as merchandise) shall be agreed by the</w:t>
            </w:r>
            <w:r>
              <w:rPr>
                <w:rFonts w:ascii="Verdana" w:hAnsi="Verdana"/>
              </w:rPr>
              <w:t xml:space="preserve"> Co-Chaired Event Project Control Group as </w:t>
            </w:r>
            <w:r>
              <w:rPr/>
              <w:t>a  post-termination activities agreement.</w:t>
              <w:br/>
            </w:r>
          </w:p>
          <w:p>
            <w:pPr>
              <w:pStyle w:val="Normal"/>
              <w:widowControl w:val="false"/>
              <w:numPr>
                <w:ilvl w:val="0"/>
                <w:numId w:val="6"/>
              </w:numPr>
              <w:ind w:hanging="340" w:start="397" w:end="0"/>
              <w:rPr>
                <w:rFonts w:ascii="Verdana" w:hAnsi="Verdana"/>
                <w:b/>
                <w:bCs/>
              </w:rPr>
            </w:pPr>
            <w:r>
              <w:rPr>
                <w:rFonts w:ascii="Verdana" w:hAnsi="Verdana"/>
                <w:b/>
                <w:bCs/>
              </w:rPr>
              <w:t>Event Organiser’s Role</w:t>
            </w:r>
          </w:p>
          <w:p>
            <w:pPr>
              <w:pStyle w:val="Normal"/>
              <w:widowControl w:val="false"/>
              <w:numPr>
                <w:ilvl w:val="0"/>
                <w:numId w:val="0"/>
              </w:numPr>
              <w:ind w:hanging="0" w:start="397" w:end="0"/>
              <w:rPr/>
            </w:pPr>
            <w:r>
              <w:rPr/>
              <w:t xml:space="preserve">At each event ROZevents shall ensure that Event Organiser </w:t>
            </w:r>
            <w:r>
              <w:rPr>
                <w:rFonts w:ascii="Verdana" w:hAnsi="Verdana"/>
              </w:rPr>
              <w:t>is the lead for the event and if the event has co-organisers in the order and manner set out in the Project schedule</w:t>
            </w:r>
            <w:r>
              <w:rPr/>
              <w:t>.</w:t>
              <w:br/>
            </w:r>
          </w:p>
          <w:p>
            <w:pPr>
              <w:pStyle w:val="Normal"/>
              <w:widowControl w:val="false"/>
              <w:numPr>
                <w:ilvl w:val="0"/>
                <w:numId w:val="6"/>
              </w:numPr>
              <w:ind w:hanging="340" w:start="397" w:end="0"/>
              <w:rPr/>
            </w:pPr>
            <w:r>
              <w:rPr>
                <w:b/>
                <w:bCs/>
              </w:rPr>
              <w:t>IP Rights</w:t>
              <w:br/>
            </w:r>
            <w:r>
              <w:rPr>
                <w:b/>
                <w:bCs/>
              </w:rPr>
              <w:t>I</w:t>
            </w:r>
            <w:r>
              <w:rPr>
                <w:b w:val="false"/>
                <w:bCs w:val="false"/>
              </w:rPr>
              <w:t>m</w:t>
            </w:r>
            <w:r>
              <w:rPr/>
              <w:t>ages or other artistic works featuring the Event shall be vested in ROZevents and the Event Organiser solely for the purpose of promoting the event both before and after the event.   Event Organiser's images that do not feature the event  which may be provided to ROZevents for use to promote Event Organiser may only be used for that purpose and shall be used in accordance with the restrictions on use as provided for by Event Organiser and always remain vested in Event Organiser or the owner of the work.</w:t>
              <w:br/>
            </w:r>
          </w:p>
          <w:p>
            <w:pPr>
              <w:pStyle w:val="Normal"/>
              <w:widowControl w:val="false"/>
              <w:numPr>
                <w:ilvl w:val="0"/>
                <w:numId w:val="6"/>
              </w:numPr>
              <w:ind w:hanging="340" w:start="397" w:end="0"/>
              <w:rPr/>
            </w:pPr>
            <w:r>
              <w:rPr>
                <w:b/>
                <w:bCs/>
              </w:rPr>
              <w:t>Home and Garden Shows</w:t>
              <w:br/>
            </w:r>
            <w:r>
              <w:rPr>
                <w:b w:val="false"/>
                <w:bCs w:val="false"/>
              </w:rPr>
              <w:t>Home and Garden shows will require submission of the agreement or advice form proposed to be used by the Event Organiser to use or occupy the property..  The Event Organiser may satisfy this requirement by confirming that it has adopted the template Advice to Owners” as provided by ROZevents and ensured that document has been provided to each owner.</w:t>
              <w:br/>
            </w:r>
          </w:p>
          <w:p>
            <w:pPr>
              <w:pStyle w:val="Normal"/>
              <w:widowControl w:val="false"/>
              <w:numPr>
                <w:ilvl w:val="0"/>
                <w:numId w:val="6"/>
              </w:numPr>
              <w:ind w:hanging="340" w:start="397" w:end="0"/>
              <w:rPr/>
            </w:pPr>
            <w:r>
              <w:rPr>
                <w:b/>
                <w:bCs/>
              </w:rPr>
              <w:t>Food Services</w:t>
            </w:r>
            <w:r>
              <w:rPr/>
              <w:t xml:space="preserve"> – any food service must be declared if it is part of the Event.  Generally Food services delivered via a stallholder should be covered by that stallholders insurance.  Any food sold at the Event is not covered by this agreement. If the Event Organiser permits it’s volunteers to contribute by selling home prepared goods that sale must be clearly made by the volunteers and must not be advertised or promoted by the Event Organiser as part of the Event.  In all other cases the Event Organiser must declare the proposed goods and confirm that the goods to be sold and the method of production and packaging comply with the </w:t>
            </w:r>
            <w:hyperlink r:id="rId3" w:tgtFrame="_blank">
              <w:r>
                <w:rPr>
                  <w:rStyle w:val="Hyperlink"/>
                </w:rPr>
                <w:t>New Zealand Food Safety Act</w:t>
              </w:r>
            </w:hyperlink>
            <w:r>
              <w:rPr>
                <w:rStyle w:val="Hyperlink"/>
              </w:rPr>
              <w:t xml:space="preserve">.  </w:t>
            </w:r>
            <w:r>
              <w:rPr/>
              <w:t xml:space="preserve">Furthermore the Event Organiser is responsible for </w:t>
            </w:r>
            <w:r>
              <w:rPr>
                <w:lang w:val="en-NZ" w:eastAsia="en-US" w:bidi="ar-SA"/>
              </w:rPr>
              <w:t>obtaining</w:t>
            </w:r>
            <w:r>
              <w:rPr/>
              <w:t xml:space="preserve"> any required permits. The Food Safety Act includes rules on cleanliness to labelling and is directed to making sure that any food supplied is safe and suitable for consumption. Your Health and Safety and Crisis Management plans should cover the risk that, accidents can happen, especially at a market</w:t>
              <w:br/>
            </w:r>
          </w:p>
          <w:p>
            <w:pPr>
              <w:pStyle w:val="Normal"/>
              <w:widowControl w:val="false"/>
              <w:numPr>
                <w:ilvl w:val="0"/>
                <w:numId w:val="6"/>
              </w:numPr>
              <w:ind w:hanging="340" w:start="397" w:end="0"/>
              <w:rPr/>
            </w:pPr>
            <w:r>
              <w:rPr>
                <w:b/>
                <w:bCs/>
              </w:rPr>
              <w:t xml:space="preserve">Stallholders – </w:t>
            </w:r>
            <w:r>
              <w:rPr>
                <w:b w:val="false"/>
                <w:bCs w:val="false"/>
              </w:rPr>
              <w:t>any stallholder must be subcontracted on a Stallholder Agreement.  If the agreement form proposed to be used by the Event Organiser is a form provided by ROZevents the Event Organiser may proceed to contract the Stallholder once a Stallholder insurance declaration or extension of the Event Cover policy to cover Stallholders is confirmed by endorsement on the Event Cover policy.  Failure to observe this requirement will void the Event Organisers insurance.</w:t>
            </w:r>
            <w:r>
              <w:rPr/>
              <w:br/>
            </w:r>
          </w:p>
          <w:p>
            <w:pPr>
              <w:pStyle w:val="Normal"/>
              <w:widowControl w:val="false"/>
              <w:numPr>
                <w:ilvl w:val="0"/>
                <w:numId w:val="6"/>
              </w:numPr>
              <w:ind w:hanging="340" w:start="397" w:end="0"/>
              <w:rPr/>
            </w:pPr>
            <w:r>
              <w:rPr>
                <w:b/>
                <w:bCs/>
              </w:rPr>
              <w:t xml:space="preserve">Trade Stands </w:t>
            </w:r>
            <w:r>
              <w:rPr>
                <w:b w:val="false"/>
                <w:bCs w:val="false"/>
              </w:rPr>
              <w:t>– trade exhibitors must be subcontracted on an Exhibitor Agreement.  If the agreement form proposed to be used by the Event Organiser is a form provided by ROZevents the Event Organiser may proceed to contract the Trade Exhibitor once an insurance declaration or extension of the Event Cover policy to cover Trade Exhibitors is confirmed by endorsement on the Event Cover policy.  Failure to observe this requirement will void the Event Organisers insurance.</w:t>
            </w:r>
            <w:r>
              <w:rPr/>
              <w:br/>
            </w:r>
          </w:p>
          <w:p>
            <w:pPr>
              <w:pStyle w:val="Normal"/>
              <w:widowControl w:val="false"/>
              <w:numPr>
                <w:ilvl w:val="0"/>
                <w:numId w:val="6"/>
              </w:numPr>
              <w:ind w:hanging="340" w:start="397" w:end="0"/>
              <w:rPr/>
            </w:pPr>
            <w:r>
              <w:rPr>
                <w:b/>
                <w:bCs/>
              </w:rPr>
              <w:t xml:space="preserve">Golf – Hole-In_one – </w:t>
            </w:r>
            <w:r>
              <w:rPr>
                <w:b w:val="false"/>
                <w:bCs w:val="false"/>
              </w:rPr>
              <w:t>Hole-in-One or similar prize covers may be available on application but otherwise is not covered by any of the Insurance policies.</w:t>
            </w:r>
            <w:r>
              <w:rPr/>
              <w:br/>
            </w:r>
          </w:p>
          <w:p>
            <w:pPr>
              <w:pStyle w:val="Normal"/>
              <w:widowControl w:val="false"/>
              <w:numPr>
                <w:ilvl w:val="0"/>
                <w:numId w:val="6"/>
              </w:numPr>
              <w:ind w:hanging="340" w:start="397" w:end="0"/>
              <w:rPr/>
            </w:pPr>
            <w:r>
              <w:rPr>
                <w:b/>
                <w:bCs/>
              </w:rPr>
              <w:t>Live Music Event</w:t>
            </w:r>
            <w:r>
              <w:rPr>
                <w:b/>
                <w:bCs/>
              </w:rPr>
              <w:t>s</w:t>
              <w:br/>
            </w:r>
            <w:r>
              <w:rPr>
                <w:b w:val="false"/>
                <w:bCs w:val="false"/>
              </w:rPr>
              <w:t>L</w:t>
            </w:r>
            <w:r>
              <w:rPr>
                <w:b w:val="false"/>
                <w:bCs w:val="false"/>
              </w:rPr>
              <w:t>ive music events have special risks.  Cover is excluded but may be available as an extension to the Event Cover on application</w:t>
            </w:r>
            <w:r>
              <w:rPr>
                <w:b/>
                <w:bCs/>
              </w:rPr>
              <w:br/>
            </w:r>
          </w:p>
          <w:p>
            <w:pPr>
              <w:pStyle w:val="Normal"/>
              <w:widowControl w:val="false"/>
              <w:numPr>
                <w:ilvl w:val="0"/>
                <w:numId w:val="6"/>
              </w:numPr>
              <w:ind w:hanging="340" w:start="397" w:end="0"/>
              <w:rPr/>
            </w:pPr>
            <w:r>
              <w:rPr>
                <w:b/>
                <w:bCs/>
              </w:rPr>
              <w:t>Trading Trusts</w:t>
              <w:br/>
            </w:r>
            <w:r>
              <w:rPr>
                <w:b w:val="false"/>
                <w:bCs w:val="false"/>
              </w:rPr>
              <w:t>T</w:t>
            </w:r>
            <w:r>
              <w:rPr>
                <w:b w:val="false"/>
                <w:bCs w:val="false"/>
              </w:rPr>
              <w:t>rading trusts generally do not have any protection at law by way of limiting liability to the capital of the trust and accordingly the risk to individuals as Trustees can only be covered by specific Trustees Liability Insurance.   Application for Event Cover for a trading trust must be made as a separate proposal.</w:t>
              <w:br/>
            </w:r>
          </w:p>
          <w:p>
            <w:pPr>
              <w:pStyle w:val="Normal"/>
              <w:widowControl w:val="false"/>
              <w:numPr>
                <w:ilvl w:val="0"/>
                <w:numId w:val="6"/>
              </w:numPr>
              <w:ind w:hanging="340" w:start="397" w:end="0"/>
              <w:rPr/>
            </w:pPr>
            <w:r>
              <w:rPr>
                <w:b/>
                <w:bCs/>
              </w:rPr>
              <w:t>Fun Runs and Challenges</w:t>
            </w:r>
            <w:r>
              <w:rPr>
                <w:b/>
                <w:bCs/>
              </w:rPr>
              <w:br/>
            </w:r>
            <w:r>
              <w:rPr>
                <w:b w:val="false"/>
                <w:bCs w:val="false"/>
              </w:rPr>
              <w:t>Fun Runs and challenges</w:t>
            </w:r>
            <w:r>
              <w:rPr>
                <w:b/>
                <w:bCs/>
              </w:rPr>
              <w:t xml:space="preserve"> </w:t>
            </w:r>
            <w:r>
              <w:rPr>
                <w:b w:val="false"/>
                <w:bCs w:val="false"/>
              </w:rPr>
              <w:t xml:space="preserve">will require submission of the agreement  to be used by the Event Organiser to use or occupy </w:t>
            </w:r>
            <w:r>
              <w:rPr>
                <w:b w:val="false"/>
                <w:bCs w:val="false"/>
              </w:rPr>
              <w:t>public spaces</w:t>
            </w:r>
            <w:r>
              <w:rPr>
                <w:b w:val="false"/>
                <w:bCs w:val="false"/>
              </w:rPr>
              <w:t xml:space="preserve">..  The Event Organiser may satisfy this requirement by confirming that </w:t>
            </w:r>
            <w:r>
              <w:rPr>
                <w:b w:val="false"/>
                <w:bCs w:val="false"/>
              </w:rPr>
              <w:t>the Event Organiser</w:t>
            </w:r>
            <w:r>
              <w:rPr>
                <w:b w:val="false"/>
                <w:bCs w:val="false"/>
              </w:rPr>
              <w:t xml:space="preserve"> has adopted the template “Advice to </w:t>
            </w:r>
            <w:r>
              <w:rPr>
                <w:b w:val="false"/>
                <w:bCs w:val="false"/>
              </w:rPr>
              <w:t>Public Authorities</w:t>
            </w:r>
            <w:r>
              <w:rPr>
                <w:b w:val="false"/>
                <w:bCs w:val="false"/>
              </w:rPr>
              <w:t xml:space="preserve">” as provided by ROZevents and ensured that document has been provided to </w:t>
            </w:r>
            <w:r>
              <w:rPr>
                <w:b w:val="false"/>
                <w:bCs w:val="false"/>
              </w:rPr>
              <w:t>any public authority involved</w:t>
            </w:r>
            <w:r>
              <w:rPr>
                <w:b w:val="false"/>
                <w:bCs w:val="false"/>
              </w:rPr>
              <w:t xml:space="preserve">.  </w:t>
            </w:r>
            <w:r>
              <w:rPr>
                <w:b w:val="false"/>
                <w:bCs w:val="false"/>
              </w:rPr>
              <w:t>Particular attention is required if traffic management in involved.</w:t>
            </w:r>
            <w:r>
              <w:rPr/>
              <w:br/>
            </w:r>
          </w:p>
          <w:p>
            <w:pPr>
              <w:pStyle w:val="Normal"/>
              <w:widowControl w:val="false"/>
              <w:numPr>
                <w:ilvl w:val="0"/>
                <w:numId w:val="6"/>
              </w:numPr>
              <w:ind w:hanging="340" w:start="397" w:end="0"/>
              <w:rPr/>
            </w:pPr>
            <w:r>
              <w:rPr>
                <w:b/>
                <w:bCs/>
              </w:rPr>
              <w:t>Car Rallies or Events Involving Plant or Machinery</w:t>
            </w:r>
            <w:r>
              <w:rPr/>
              <w:br/>
            </w:r>
            <w:r>
              <w:rPr/>
              <w:t xml:space="preserve">Again these events involve special risks. </w:t>
            </w:r>
            <w:r>
              <w:rPr>
                <w:b w:val="false"/>
                <w:bCs w:val="false"/>
              </w:rPr>
              <w:t>Cover is excluded but may be available as an extension to the Event Cover on application</w:t>
            </w:r>
          </w:p>
        </w:tc>
      </w:tr>
    </w:tbl>
    <w:p>
      <w:pPr>
        <w:pStyle w:val="Normal"/>
        <w:rPr/>
      </w:pPr>
      <w:r>
        <w:rPr/>
      </w:r>
      <w:r>
        <w:br w:type="page"/>
      </w:r>
    </w:p>
    <w:p>
      <w:pPr>
        <w:pStyle w:val="Normal"/>
        <w:rPr/>
      </w:pPr>
      <w:r>
        <w:rPr/>
      </w:r>
    </w:p>
    <w:tbl>
      <w:tblPr>
        <w:tblW w:w="10195" w:type="dxa"/>
        <w:jc w:val="start"/>
        <w:tblInd w:w="0" w:type="dxa"/>
        <w:tblLayout w:type="fixed"/>
        <w:tblCellMar>
          <w:top w:w="0" w:type="dxa"/>
          <w:start w:w="108" w:type="dxa"/>
          <w:bottom w:w="0" w:type="dxa"/>
          <w:end w:w="108" w:type="dxa"/>
        </w:tblCellMar>
      </w:tblPr>
      <w:tblGrid>
        <w:gridCol w:w="3393"/>
        <w:gridCol w:w="2268"/>
        <w:gridCol w:w="2265"/>
        <w:gridCol w:w="2269"/>
      </w:tblGrid>
      <w:tr>
        <w:trPr>
          <w:tblHeader w:val="true"/>
          <w:trHeight w:val="397" w:hRule="atLeast"/>
        </w:trPr>
        <w:tc>
          <w:tcPr>
            <w:tcW w:w="10195" w:type="dxa"/>
            <w:gridSpan w:val="4"/>
            <w:tcBorders>
              <w:top w:val="single" w:sz="4" w:space="0" w:color="000000"/>
              <w:start w:val="single" w:sz="4" w:space="0" w:color="000000"/>
              <w:bottom w:val="single" w:sz="4" w:space="0" w:color="000000"/>
              <w:end w:val="single" w:sz="4" w:space="0" w:color="000000"/>
            </w:tcBorders>
            <w:shd w:fill="2A6099" w:val="clear"/>
            <w:vAlign w:val="center"/>
          </w:tcPr>
          <w:p>
            <w:pPr>
              <w:pStyle w:val="Normal"/>
              <w:widowControl w:val="false"/>
              <w:jc w:val="center"/>
              <w:rPr>
                <w:color w:val="FFFFFF"/>
              </w:rPr>
            </w:pPr>
            <w:r>
              <w:rPr>
                <w:rFonts w:ascii="Verdana" w:hAnsi="Verdana"/>
                <w:b/>
                <w:color w:val="FFFFFF"/>
                <w:sz w:val="24"/>
                <w:szCs w:val="24"/>
              </w:rPr>
              <w:t>Event Project</w:t>
            </w:r>
            <w:r>
              <w:rPr>
                <w:b/>
                <w:color w:val="FFFFFF"/>
                <w:sz w:val="24"/>
                <w:szCs w:val="24"/>
              </w:rPr>
              <w:t xml:space="preserve"> Management Services</w:t>
            </w:r>
          </w:p>
        </w:tc>
      </w:tr>
      <w:tr>
        <w:trPr>
          <w:trHeight w:val="397" w:hRule="atLeast"/>
        </w:trPr>
        <w:tc>
          <w:tcPr>
            <w:tcW w:w="3393" w:type="dxa"/>
            <w:tcBorders>
              <w:start w:val="single" w:sz="4" w:space="0" w:color="000000"/>
              <w:bottom w:val="single" w:sz="4" w:space="0" w:color="000000"/>
              <w:end w:val="single" w:sz="4" w:space="0" w:color="000000"/>
            </w:tcBorders>
            <w:vAlign w:val="center"/>
          </w:tcPr>
          <w:p>
            <w:pPr>
              <w:pStyle w:val="Normal"/>
              <w:widowControl w:val="false"/>
              <w:rPr/>
            </w:pPr>
            <w:r>
              <w:rPr>
                <w:rFonts w:ascii="Verdana" w:hAnsi="Verdana"/>
              </w:rPr>
              <w:t xml:space="preserve">ROZevents </w:t>
            </w:r>
            <w:r>
              <w:rPr/>
              <w:t>Management Services</w:t>
            </w:r>
          </w:p>
        </w:tc>
        <w:tc>
          <w:tcPr>
            <w:tcW w:w="6802" w:type="dxa"/>
            <w:gridSpan w:val="3"/>
            <w:tcBorders>
              <w:start w:val="single" w:sz="4" w:space="0" w:color="000000"/>
              <w:bottom w:val="single" w:sz="4" w:space="0" w:color="000000"/>
              <w:end w:val="single" w:sz="4" w:space="0" w:color="000000"/>
            </w:tcBorders>
            <w:vAlign w:val="center"/>
          </w:tcPr>
          <w:p>
            <w:pPr>
              <w:pStyle w:val="ListParagraph"/>
              <w:widowControl w:val="false"/>
              <w:ind w:hanging="360" w:start="335" w:end="0"/>
              <w:rPr/>
            </w:pPr>
            <w:r>
              <w:rPr>
                <w:rFonts w:ascii="Verdana" w:hAnsi="Verdana"/>
                <w:b/>
                <w:bCs/>
              </w:rPr>
              <w:t>Project planning</w:t>
            </w:r>
            <w:r>
              <w:rPr/>
              <w:t xml:space="preserve"> – ROZevents will review any</w:t>
            </w:r>
            <w:r>
              <w:rPr>
                <w:rFonts w:ascii="Verdana" w:hAnsi="Verdana"/>
              </w:rPr>
              <w:t xml:space="preserve"> project plan for the</w:t>
            </w:r>
            <w:r>
              <w:rPr/>
              <w:t xml:space="preserve"> Event Organiser.  If the Event has a formal project plan all delivery of the plan will be the business of the </w:t>
            </w:r>
            <w:r>
              <w:rPr>
                <w:rFonts w:ascii="Verdana" w:hAnsi="Verdana"/>
              </w:rPr>
              <w:t xml:space="preserve">Co-Chaired </w:t>
            </w:r>
            <w:r>
              <w:rPr/>
              <w:t>Event PCG (Project Management Group) and ROZevents services shall be costed and scheduled as part of this agreement.</w:t>
            </w:r>
          </w:p>
          <w:p>
            <w:pPr>
              <w:pStyle w:val="ListParagraph"/>
              <w:widowControl w:val="false"/>
              <w:ind w:hanging="360" w:start="335" w:end="0"/>
              <w:rPr>
                <w:b/>
                <w:bCs/>
              </w:rPr>
            </w:pPr>
            <w:r>
              <w:rPr>
                <w:b/>
                <w:bCs/>
              </w:rPr>
            </w:r>
          </w:p>
          <w:p>
            <w:pPr>
              <w:pStyle w:val="ListParagraph"/>
              <w:widowControl w:val="false"/>
              <w:ind w:hanging="360" w:start="335" w:end="0"/>
              <w:rPr/>
            </w:pPr>
            <w:r>
              <w:rPr>
                <w:rFonts w:ascii="Verdana" w:hAnsi="Verdana"/>
                <w:b/>
                <w:bCs/>
              </w:rPr>
              <w:t>Project financials</w:t>
            </w:r>
            <w:r>
              <w:rPr/>
              <w:t xml:space="preserve"> – As the Insured under the Event Insurance ROZevents  is required oversee</w:t>
            </w:r>
            <w:r>
              <w:rPr>
                <w:rFonts w:ascii="Verdana" w:hAnsi="Verdana"/>
              </w:rPr>
              <w:t xml:space="preserve"> the budgeting, transactions and accounting with the</w:t>
            </w:r>
            <w:r>
              <w:rPr/>
              <w:t xml:space="preserve"> Event Organiser. If the ticketing is to be managed by ROZ</w:t>
            </w:r>
            <w:r>
              <w:rPr/>
              <w:t>e</w:t>
            </w:r>
            <w:r>
              <w:rPr/>
              <w:t>vents all accounting shall be done by ROZevents.  If the Event Organiser is carry out all the financial transactions then the accounting shall be via the ROZops ProjectOne system or such other system as agreed with ROZevents.</w:t>
            </w:r>
          </w:p>
          <w:p>
            <w:pPr>
              <w:pStyle w:val="ListParagraph"/>
              <w:widowControl w:val="false"/>
              <w:ind w:hanging="360" w:start="335" w:end="0"/>
              <w:rPr>
                <w:b/>
                <w:bCs/>
              </w:rPr>
            </w:pPr>
            <w:r>
              <w:rPr>
                <w:b/>
                <w:bCs/>
              </w:rPr>
            </w:r>
          </w:p>
          <w:p>
            <w:pPr>
              <w:pStyle w:val="ListParagraph"/>
              <w:widowControl w:val="false"/>
              <w:ind w:hanging="360" w:start="335" w:end="0"/>
              <w:rPr/>
            </w:pPr>
            <w:r>
              <w:rPr>
                <w:b/>
                <w:bCs/>
              </w:rPr>
              <w:t xml:space="preserve">Marketing Delivery </w:t>
            </w:r>
            <w:r>
              <w:rPr/>
              <w:t>– In conjunction with Event Organiser’s marketing team, ROZevents will market the opportunity to all Rotary Entities:</w:t>
              <w:br/>
            </w:r>
          </w:p>
          <w:p>
            <w:pPr>
              <w:pStyle w:val="ListParagraph"/>
              <w:widowControl w:val="false"/>
              <w:numPr>
                <w:ilvl w:val="0"/>
                <w:numId w:val="13"/>
              </w:numPr>
              <w:ind w:hanging="360" w:start="1440" w:end="0"/>
              <w:rPr/>
            </w:pPr>
            <w:r>
              <w:rPr/>
              <w:t>through direct contact wherever possible through its Project One server</w:t>
            </w:r>
          </w:p>
          <w:p>
            <w:pPr>
              <w:pStyle w:val="ListParagraph"/>
              <w:widowControl w:val="false"/>
              <w:numPr>
                <w:ilvl w:val="0"/>
                <w:numId w:val="13"/>
              </w:numPr>
              <w:ind w:hanging="360" w:start="1440" w:end="0"/>
              <w:rPr/>
            </w:pPr>
            <w:r>
              <w:rPr/>
              <w:t>through the Rotary Zone and District Websites on Project One</w:t>
            </w:r>
          </w:p>
          <w:p>
            <w:pPr>
              <w:pStyle w:val="ListParagraph"/>
              <w:widowControl w:val="false"/>
              <w:numPr>
                <w:ilvl w:val="0"/>
                <w:numId w:val="13"/>
              </w:numPr>
              <w:ind w:hanging="360" w:start="1440" w:end="0"/>
              <w:rPr/>
            </w:pPr>
            <w:r>
              <w:rPr/>
              <w:t>at key Rotary events hosted within the ProjectOne server.</w:t>
            </w:r>
          </w:p>
          <w:p>
            <w:pPr>
              <w:pStyle w:val="ListParagraph"/>
              <w:widowControl w:val="false"/>
              <w:rPr/>
            </w:pPr>
            <w:r>
              <w:rPr/>
            </w:r>
          </w:p>
          <w:p>
            <w:pPr>
              <w:pStyle w:val="ListParagraph"/>
              <w:widowControl w:val="false"/>
              <w:ind w:hanging="360" w:start="335" w:end="0"/>
              <w:rPr/>
            </w:pPr>
            <w:r>
              <w:rPr>
                <w:b/>
                <w:bCs/>
              </w:rPr>
              <w:t>ROZops Supporter Participation at events</w:t>
            </w:r>
            <w:r>
              <w:rPr/>
              <w:t xml:space="preserve"> – ROZevents will coordinate with </w:t>
            </w:r>
            <w:r>
              <w:rPr>
                <w:rFonts w:ascii="Verdana" w:hAnsi="Verdana"/>
              </w:rPr>
              <w:t>its National supporters</w:t>
            </w:r>
            <w:r>
              <w:rPr/>
              <w:t xml:space="preserve"> to ensure the National supporter are informed of relevant events as an opportunity to be represented if desired.</w:t>
            </w:r>
          </w:p>
          <w:p>
            <w:pPr>
              <w:pStyle w:val="ListParagraph"/>
              <w:widowControl w:val="false"/>
              <w:ind w:hanging="360" w:start="335" w:end="0"/>
              <w:rPr/>
            </w:pPr>
            <w:r>
              <w:rPr/>
            </w:r>
          </w:p>
          <w:p>
            <w:pPr>
              <w:pStyle w:val="ListParagraph"/>
              <w:widowControl w:val="false"/>
              <w:ind w:hanging="360" w:start="335" w:end="0"/>
              <w:rPr/>
            </w:pPr>
            <w:r>
              <w:rPr>
                <w:b/>
                <w:bCs/>
              </w:rPr>
              <w:t>Promotion and Advertising</w:t>
            </w:r>
            <w:r>
              <w:rPr/>
              <w:t xml:space="preserve"> – For all entities that opt-in, to use the Project One server ROZevents will ensure Event Organiser is promoted on all participating websites and social media channels in use (eg Facebook) as agreed with the </w:t>
            </w:r>
            <w:r>
              <w:rPr>
                <w:rFonts w:ascii="Verdana" w:hAnsi="Verdana"/>
              </w:rPr>
              <w:t>Event Organiser's</w:t>
            </w:r>
            <w:r>
              <w:rPr/>
              <w:t xml:space="preserve"> Marketing team and costed and provided for in a project plan.</w:t>
            </w:r>
          </w:p>
          <w:p>
            <w:pPr>
              <w:pStyle w:val="ListParagraph"/>
              <w:widowControl w:val="false"/>
              <w:ind w:hanging="360" w:start="335" w:end="0"/>
              <w:rPr/>
            </w:pPr>
            <w:r>
              <w:rPr/>
            </w:r>
          </w:p>
          <w:p>
            <w:pPr>
              <w:pStyle w:val="ListParagraph"/>
              <w:widowControl w:val="false"/>
              <w:ind w:hanging="360" w:start="335" w:end="0"/>
              <w:rPr/>
            </w:pPr>
            <w:r>
              <w:rPr>
                <w:rFonts w:ascii="Verdana" w:hAnsi="Verdana"/>
                <w:b/>
                <w:bCs/>
              </w:rPr>
              <w:t>Project contracting</w:t>
            </w:r>
            <w:r>
              <w:rPr/>
              <w:t xml:space="preserve"> – ROZevents may </w:t>
            </w:r>
            <w:r>
              <w:rPr>
                <w:rFonts w:ascii="Verdana" w:hAnsi="Verdana"/>
              </w:rPr>
              <w:t>engage and contract for the</w:t>
            </w:r>
            <w:r>
              <w:rPr/>
              <w:t xml:space="preserve"> Event Organiser. If ROZevents acts as the contracting party all contracts are to be provided to the </w:t>
            </w:r>
            <w:r>
              <w:rPr>
                <w:rFonts w:ascii="Verdana" w:hAnsi="Verdana"/>
              </w:rPr>
              <w:t xml:space="preserve">Co-Chaired </w:t>
            </w:r>
            <w:r>
              <w:rPr/>
              <w:t xml:space="preserve">Event PCG with a checklist for common issues especially indemnities or cancellation and refunds policies on cancellation.   Risk management for perils such as natural disasters, fire, flood for facilities should result in full refunds and the facility owner should have cover for </w:t>
            </w:r>
            <w:r>
              <w:rPr>
                <w:rFonts w:ascii="Verdana" w:hAnsi="Verdana"/>
              </w:rPr>
              <w:t>B</w:t>
            </w:r>
            <w:r>
              <w:rPr/>
              <w:t>usiness Interruption to ensure repayment.</w:t>
            </w:r>
          </w:p>
          <w:p>
            <w:pPr>
              <w:pStyle w:val="ListParagraph"/>
              <w:widowControl w:val="false"/>
              <w:ind w:hanging="360" w:start="335" w:end="0"/>
              <w:rPr>
                <w:b/>
                <w:bCs/>
              </w:rPr>
            </w:pPr>
            <w:r>
              <w:rPr>
                <w:b/>
                <w:bCs/>
              </w:rPr>
            </w:r>
          </w:p>
          <w:p>
            <w:pPr>
              <w:pStyle w:val="ListParagraph"/>
              <w:widowControl w:val="false"/>
              <w:ind w:hanging="360" w:start="335" w:end="0"/>
              <w:rPr/>
            </w:pPr>
            <w:r>
              <w:rPr>
                <w:rFonts w:ascii="Verdana" w:hAnsi="Verdana"/>
                <w:b/>
                <w:bCs/>
              </w:rPr>
              <w:t>Project compliance</w:t>
            </w:r>
            <w:r>
              <w:rPr>
                <w:b/>
                <w:bCs/>
              </w:rPr>
              <w:t xml:space="preserve"> – </w:t>
            </w:r>
            <w:r>
              <w:rPr/>
              <w:t xml:space="preserve">ROZevents will </w:t>
            </w:r>
            <w:r>
              <w:rPr>
                <w:rFonts w:ascii="Verdana" w:hAnsi="Verdana"/>
              </w:rPr>
              <w:t>provide review services to the</w:t>
            </w:r>
            <w:r>
              <w:rPr/>
              <w:t xml:space="preserve"> Event Organiser on the event Health Safety and Risk Management Plan and how that integrates with the District RI template based Crisis Management Plan.</w:t>
            </w:r>
          </w:p>
          <w:p>
            <w:pPr>
              <w:pStyle w:val="ListParagraph"/>
              <w:widowControl w:val="false"/>
              <w:ind w:hanging="360" w:start="335" w:end="0"/>
              <w:rPr/>
            </w:pPr>
            <w:r>
              <w:rPr/>
            </w:r>
          </w:p>
          <w:p>
            <w:pPr>
              <w:pStyle w:val="ListParagraph"/>
              <w:widowControl w:val="false"/>
              <w:ind w:hanging="360" w:start="335" w:end="0"/>
              <w:rPr/>
            </w:pPr>
            <w:r>
              <w:rPr>
                <w:b/>
                <w:bCs/>
              </w:rPr>
              <w:t>Event Staging</w:t>
            </w:r>
            <w:r>
              <w:rPr/>
              <w:t xml:space="preserve"> – ROZevents is </w:t>
            </w:r>
            <w:r>
              <w:rPr>
                <w:b/>
                <w:bCs/>
              </w:rPr>
              <w:t>not</w:t>
            </w:r>
            <w:r>
              <w:rPr/>
              <w:t xml:space="preserve"> a staging company but may provide advice on issues of engagement of technical consultants for services such as video streaming, production of live shows.</w:t>
            </w:r>
          </w:p>
          <w:p>
            <w:pPr>
              <w:pStyle w:val="ListParagraph"/>
              <w:widowControl w:val="false"/>
              <w:ind w:hanging="360" w:start="335" w:end="0"/>
              <w:rPr/>
            </w:pPr>
            <w:r>
              <w:rPr/>
            </w:r>
          </w:p>
          <w:p>
            <w:pPr>
              <w:pStyle w:val="ListParagraph"/>
              <w:widowControl w:val="false"/>
              <w:ind w:hanging="360" w:start="335" w:end="0"/>
              <w:rPr/>
            </w:pPr>
            <w:r>
              <w:rPr>
                <w:b/>
                <w:bCs/>
              </w:rPr>
              <w:t xml:space="preserve">Event </w:t>
            </w:r>
            <w:r>
              <w:rPr>
                <w:rFonts w:ascii="Verdana" w:hAnsi="Verdana"/>
                <w:b/>
                <w:bCs/>
              </w:rPr>
              <w:t>Deferrals/Cancellations</w:t>
            </w:r>
            <w:r>
              <w:rPr/>
              <w:t xml:space="preserve"> – ROZevents services are for the Event as planned in the Project Plan.</w:t>
            </w:r>
          </w:p>
          <w:p>
            <w:pPr>
              <w:pStyle w:val="ListParagraph"/>
              <w:widowControl w:val="false"/>
              <w:ind w:hanging="360" w:start="335" w:end="0"/>
              <w:rPr/>
            </w:pPr>
            <w:r>
              <w:rPr/>
            </w:r>
          </w:p>
          <w:p>
            <w:pPr>
              <w:pStyle w:val="ListParagraph"/>
              <w:widowControl w:val="false"/>
              <w:ind w:hanging="360" w:start="335" w:end="0"/>
              <w:rPr/>
            </w:pPr>
            <w:r>
              <w:rPr/>
              <w:t xml:space="preserve">  </w:t>
            </w:r>
            <w:r>
              <w:rPr/>
              <w:tab/>
              <w:t xml:space="preserve">If the event has to be postponed or re-scheduled, for any reason, the </w:t>
            </w:r>
            <w:r>
              <w:rPr>
                <w:rFonts w:ascii="Verdana" w:hAnsi="Verdana"/>
              </w:rPr>
              <w:t xml:space="preserve">Co-Chaired </w:t>
            </w:r>
            <w:r>
              <w:rPr/>
              <w:t>Event PCG will, as part of consideration of the postponement, set out the basis for ROZevents to continue to provide services.</w:t>
            </w:r>
          </w:p>
          <w:p>
            <w:pPr>
              <w:pStyle w:val="ListParagraph"/>
              <w:widowControl w:val="false"/>
              <w:ind w:hanging="360" w:start="335" w:end="0"/>
              <w:rPr/>
            </w:pPr>
            <w:r>
              <w:rPr/>
            </w:r>
          </w:p>
        </w:tc>
      </w:tr>
      <w:tr>
        <w:trPr>
          <w:trHeight w:val="397" w:hRule="atLeast"/>
        </w:trPr>
        <w:tc>
          <w:tcPr>
            <w:tcW w:w="339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rPr>
                <w:rFonts w:ascii="Verdana" w:hAnsi="Verdana"/>
              </w:rPr>
            </w:pPr>
            <w:r>
              <w:rPr>
                <w:rFonts w:ascii="Verdana" w:hAnsi="Verdana"/>
              </w:rPr>
              <w:t>Risk Management</w:t>
            </w:r>
          </w:p>
        </w:tc>
        <w:tc>
          <w:tcPr>
            <w:tcW w:w="6802" w:type="dxa"/>
            <w:gridSpan w:val="3"/>
            <w:tcBorders>
              <w:top w:val="single" w:sz="4" w:space="0" w:color="000000"/>
              <w:start w:val="single" w:sz="4" w:space="0" w:color="000000"/>
              <w:bottom w:val="single" w:sz="4" w:space="0" w:color="000000"/>
              <w:end w:val="single" w:sz="4" w:space="0" w:color="000000"/>
            </w:tcBorders>
            <w:vAlign w:val="center"/>
          </w:tcPr>
          <w:p>
            <w:pPr>
              <w:pStyle w:val="ListParagraph"/>
              <w:widowControl w:val="false"/>
              <w:ind w:hanging="360" w:start="335" w:end="0"/>
              <w:rPr>
                <w:b/>
                <w:bCs/>
              </w:rPr>
            </w:pPr>
            <w:r>
              <w:rPr>
                <w:b/>
                <w:bCs/>
              </w:rPr>
              <w:t>Insurance</w:t>
            </w:r>
          </w:p>
          <w:p>
            <w:pPr>
              <w:pStyle w:val="ListParagraph"/>
              <w:widowControl w:val="false"/>
              <w:ind w:hanging="360" w:start="335" w:end="0"/>
              <w:rPr>
                <w:b/>
                <w:bCs/>
              </w:rPr>
            </w:pPr>
            <w:r>
              <w:rPr>
                <w:b/>
                <w:bCs/>
              </w:rPr>
            </w:r>
          </w:p>
          <w:p>
            <w:pPr>
              <w:pStyle w:val="ListParagraph"/>
              <w:widowControl w:val="false"/>
              <w:numPr>
                <w:ilvl w:val="0"/>
                <w:numId w:val="15"/>
              </w:numPr>
              <w:ind w:hanging="360" w:start="695" w:end="0"/>
              <w:rPr/>
            </w:pPr>
            <w:r>
              <w:rPr>
                <w:b/>
                <w:bCs/>
              </w:rPr>
              <w:t>Event Insurance –</w:t>
            </w:r>
            <w:r>
              <w:rPr/>
              <w:t xml:space="preserve"> ROZevents, through it’s Events Insurance Policy, will ensure that </w:t>
            </w:r>
            <w:r>
              <w:rPr>
                <w:rFonts w:ascii="Verdana" w:hAnsi="Verdana"/>
              </w:rPr>
              <w:t>the Event Organisers</w:t>
            </w:r>
            <w:r>
              <w:rPr/>
              <w:t xml:space="preserve"> </w:t>
            </w:r>
            <w:r>
              <w:rPr>
                <w:rFonts w:ascii="Verdana" w:hAnsi="Verdana"/>
              </w:rPr>
              <w:t xml:space="preserve">are named parties </w:t>
            </w:r>
            <w:r>
              <w:rPr/>
              <w:t>under the policy and will assist the Event Organiser to satisfy the requirements in the next paragraph on the other required liability covers</w:t>
            </w:r>
          </w:p>
          <w:p>
            <w:pPr>
              <w:pStyle w:val="ListParagraph"/>
              <w:widowControl w:val="false"/>
              <w:numPr>
                <w:ilvl w:val="0"/>
                <w:numId w:val="15"/>
              </w:numPr>
              <w:ind w:hanging="360" w:start="695" w:end="0"/>
              <w:rPr/>
            </w:pPr>
            <w:r>
              <w:rPr>
                <w:b/>
                <w:bCs/>
              </w:rPr>
              <w:t>Other required liability covers -</w:t>
            </w:r>
            <w:r>
              <w:rPr/>
              <w:t xml:space="preserve"> The Event Organiser will ensure that as a contracting entity it is:</w:t>
            </w:r>
          </w:p>
          <w:p>
            <w:pPr>
              <w:pStyle w:val="ListParagraph"/>
              <w:widowControl w:val="false"/>
              <w:numPr>
                <w:ilvl w:val="0"/>
                <w:numId w:val="16"/>
              </w:numPr>
              <w:ind w:hanging="360" w:start="1116" w:end="0"/>
              <w:rPr/>
            </w:pPr>
            <w:r>
              <w:rPr/>
              <w:t xml:space="preserve">an insured party under the ROZops Multinational General or Public Liability Policy </w:t>
            </w:r>
            <w:r>
              <w:rPr>
                <w:b/>
                <w:bCs/>
              </w:rPr>
              <w:t>AND</w:t>
            </w:r>
            <w:r>
              <w:rPr/>
              <w:t xml:space="preserve"> for broad form liability covers:</w:t>
            </w:r>
          </w:p>
          <w:p>
            <w:pPr>
              <w:pStyle w:val="ListParagraph"/>
              <w:widowControl w:val="false"/>
              <w:numPr>
                <w:ilvl w:val="0"/>
                <w:numId w:val="16"/>
              </w:numPr>
              <w:ind w:hanging="360" w:start="1116" w:end="0"/>
              <w:rPr/>
            </w:pPr>
            <w:r>
              <w:rPr/>
              <w:t>and as incorporated entity</w:t>
            </w:r>
          </w:p>
          <w:p>
            <w:pPr>
              <w:pStyle w:val="ListParagraph"/>
              <w:widowControl w:val="false"/>
              <w:numPr>
                <w:ilvl w:val="1"/>
                <w:numId w:val="15"/>
              </w:numPr>
              <w:ind w:hanging="360" w:start="1055" w:end="0"/>
              <w:rPr/>
            </w:pPr>
            <w:r>
              <w:rPr>
                <w:b/>
                <w:bCs/>
              </w:rPr>
              <w:t>if a Club,</w:t>
            </w:r>
            <w:r>
              <w:rPr/>
              <w:t xml:space="preserve"> then as an insured under an Associations Policy </w:t>
            </w:r>
            <w:r>
              <w:rPr>
                <w:b/>
                <w:bCs/>
              </w:rPr>
              <w:t>OR</w:t>
            </w:r>
          </w:p>
          <w:p>
            <w:pPr>
              <w:pStyle w:val="ListParagraph"/>
              <w:widowControl w:val="false"/>
              <w:numPr>
                <w:ilvl w:val="1"/>
                <w:numId w:val="15"/>
              </w:numPr>
              <w:ind w:hanging="360" w:start="1055" w:end="0"/>
              <w:rPr/>
            </w:pPr>
            <w:r>
              <w:rPr>
                <w:b/>
                <w:bCs/>
              </w:rPr>
              <w:t>if a Company</w:t>
            </w:r>
            <w:r>
              <w:rPr/>
              <w:t xml:space="preserve"> then under a broad form District and Officers Policy.</w:t>
            </w:r>
          </w:p>
          <w:p>
            <w:pPr>
              <w:pStyle w:val="ListParagraph"/>
              <w:widowControl w:val="false"/>
              <w:ind w:hanging="360" w:start="335" w:end="0"/>
              <w:rPr/>
            </w:pPr>
            <w:r>
              <w:rPr/>
            </w:r>
          </w:p>
          <w:p>
            <w:pPr>
              <w:pStyle w:val="ListParagraph"/>
              <w:widowControl w:val="false"/>
              <w:ind w:hanging="360" w:start="335" w:end="0"/>
              <w:rPr/>
            </w:pPr>
            <w:r>
              <w:rPr>
                <w:b/>
                <w:bCs/>
              </w:rPr>
              <w:t xml:space="preserve">Trading Trusts as the Event Organiser </w:t>
            </w:r>
            <w:r>
              <w:rPr/>
              <w:t xml:space="preserve"> - as noted above, trading trusts generally do not have any protection at law by way of limiting liability to the capital of the trust and accordingly the risk to individuals as Trustees can only be covered by specific Trustees Liability Insurance.  Accordingly any trading trust that wishes to be the Event Organiser will need to submit with this agreement a Trust Deed and a certificate of currency for a Trustees Liability policy that is has been reviewed and approved by ROZevents.</w:t>
            </w:r>
          </w:p>
          <w:p>
            <w:pPr>
              <w:pStyle w:val="ListParagraph"/>
              <w:widowControl w:val="false"/>
              <w:ind w:hanging="360" w:start="335" w:end="0"/>
              <w:rPr>
                <w:b/>
                <w:bCs/>
              </w:rPr>
            </w:pPr>
            <w:r>
              <w:rPr>
                <w:b/>
                <w:bCs/>
              </w:rPr>
            </w:r>
          </w:p>
          <w:p>
            <w:pPr>
              <w:pStyle w:val="ListParagraph"/>
              <w:widowControl w:val="false"/>
              <w:ind w:hanging="360" w:start="335" w:end="0"/>
              <w:rPr/>
            </w:pPr>
            <w:r>
              <w:rPr>
                <w:b/>
                <w:bCs/>
              </w:rPr>
              <w:t xml:space="preserve">Contract Risk </w:t>
            </w:r>
            <w:r>
              <w:rPr/>
              <w:t>– as ROZevents will act as the contracting party for the Event Organiser ROZevents will, as part of its professional services:</w:t>
            </w:r>
          </w:p>
          <w:p>
            <w:pPr>
              <w:pStyle w:val="ListParagraph"/>
              <w:widowControl w:val="false"/>
              <w:ind w:hanging="360" w:start="335" w:end="0"/>
              <w:rPr/>
            </w:pPr>
            <w:r>
              <w:rPr/>
            </w:r>
          </w:p>
          <w:p>
            <w:pPr>
              <w:pStyle w:val="ListParagraph"/>
              <w:widowControl w:val="false"/>
              <w:numPr>
                <w:ilvl w:val="0"/>
                <w:numId w:val="14"/>
              </w:numPr>
              <w:ind w:hanging="360" w:start="770" w:end="0"/>
              <w:rPr/>
            </w:pPr>
            <w:r>
              <w:rPr/>
              <w:t>ensure that all contracts of supply of facilities, catering and other professional services required under the Event Project plan are risk managed to the best outcome possible for the event and/or</w:t>
            </w:r>
          </w:p>
          <w:p>
            <w:pPr>
              <w:pStyle w:val="ListParagraph"/>
              <w:widowControl w:val="false"/>
              <w:numPr>
                <w:ilvl w:val="0"/>
                <w:numId w:val="14"/>
              </w:numPr>
              <w:ind w:hanging="360" w:start="770" w:end="0"/>
              <w:rPr/>
            </w:pPr>
            <w:r>
              <w:rPr/>
              <w:t>ensure that all contracts for sponsors and supporters  are similarly managed.</w:t>
            </w:r>
          </w:p>
          <w:p>
            <w:pPr>
              <w:pStyle w:val="ListParagraph"/>
              <w:widowControl w:val="false"/>
              <w:rPr/>
            </w:pPr>
            <w:r>
              <w:rPr/>
            </w:r>
          </w:p>
          <w:p>
            <w:pPr>
              <w:pStyle w:val="ListParagraph"/>
              <w:widowControl w:val="false"/>
              <w:ind w:hanging="0" w:start="0" w:end="0"/>
              <w:rPr/>
            </w:pPr>
            <w:r>
              <w:rPr/>
              <w:t>Contract risk will be covered as a standing item by ROZevents to the Co-Chaired Event Project Steering Group.</w:t>
            </w:r>
          </w:p>
          <w:p>
            <w:pPr>
              <w:pStyle w:val="ListParagraph"/>
              <w:widowControl w:val="false"/>
              <w:rPr/>
            </w:pPr>
            <w:r>
              <w:rPr/>
            </w:r>
          </w:p>
          <w:p>
            <w:pPr>
              <w:pStyle w:val="ListParagraph"/>
              <w:widowControl w:val="false"/>
              <w:ind w:hanging="0" w:start="0" w:end="0"/>
              <w:rPr/>
            </w:pPr>
            <w:r>
              <w:rPr/>
              <w:t>Any decision of the C</w:t>
            </w:r>
            <w:r>
              <w:rPr/>
              <w:t>o</w:t>
            </w:r>
            <w:r>
              <w:rPr/>
              <w:t>-Chaired Event Project Steering Group on any contract issues shall be binding on both parties.</w:t>
            </w:r>
          </w:p>
        </w:tc>
      </w:tr>
      <w:tr>
        <w:trPr>
          <w:trHeight w:val="397" w:hRule="atLeast"/>
        </w:trPr>
        <w:tc>
          <w:tcPr>
            <w:tcW w:w="339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rPr/>
            </w:pPr>
            <w:r>
              <w:rPr/>
              <w:t>Electronic Card Transactions</w:t>
            </w:r>
          </w:p>
        </w:tc>
        <w:tc>
          <w:tcPr>
            <w:tcW w:w="6802" w:type="dxa"/>
            <w:gridSpan w:val="3"/>
            <w:tcBorders>
              <w:top w:val="single" w:sz="4" w:space="0" w:color="000000"/>
              <w:start w:val="single" w:sz="4" w:space="0" w:color="000000"/>
              <w:bottom w:val="single" w:sz="4" w:space="0" w:color="000000"/>
              <w:end w:val="single" w:sz="4" w:space="0" w:color="000000"/>
            </w:tcBorders>
            <w:vAlign w:val="center"/>
          </w:tcPr>
          <w:p>
            <w:pPr>
              <w:pStyle w:val="Normal"/>
              <w:widowControl w:val="false"/>
              <w:rPr/>
            </w:pPr>
            <w:r>
              <w:rPr>
                <w:rFonts w:ascii="Verdana" w:hAnsi="Verdana"/>
              </w:rPr>
              <w:t>ROZevents</w:t>
            </w:r>
            <w:r>
              <w:rPr/>
              <w:t xml:space="preserve"> will offer its range of card and bank to bank payments for tickets solutions to meet the requirements of each event and will remunerated separately for card transaction and bank to bank payments for tickets costs as a project disbursement.</w:t>
            </w:r>
          </w:p>
        </w:tc>
      </w:tr>
      <w:tr>
        <w:trPr>
          <w:trHeight w:val="397" w:hRule="atLeast"/>
        </w:trPr>
        <w:tc>
          <w:tcPr>
            <w:tcW w:w="339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rPr/>
            </w:pPr>
            <w:r>
              <w:rPr/>
              <w:t>Other Financial Services</w:t>
            </w:r>
          </w:p>
        </w:tc>
        <w:tc>
          <w:tcPr>
            <w:tcW w:w="6802" w:type="dxa"/>
            <w:gridSpan w:val="3"/>
            <w:tcBorders>
              <w:top w:val="single" w:sz="4" w:space="0" w:color="000000"/>
              <w:start w:val="single" w:sz="4" w:space="0" w:color="000000"/>
              <w:bottom w:val="single" w:sz="4" w:space="0" w:color="000000"/>
              <w:end w:val="single" w:sz="4" w:space="0" w:color="000000"/>
            </w:tcBorders>
            <w:vAlign w:val="center"/>
          </w:tcPr>
          <w:p>
            <w:pPr>
              <w:pStyle w:val="Normal"/>
              <w:widowControl w:val="false"/>
              <w:rPr/>
            </w:pPr>
            <w:r>
              <w:rPr/>
              <w:t xml:space="preserve">ROZevents may market and offer additional financial services to </w:t>
            </w:r>
            <w:r>
              <w:rPr/>
              <w:t xml:space="preserve">the </w:t>
            </w:r>
            <w:r>
              <w:rPr/>
              <w:t xml:space="preserve">Rotary </w:t>
            </w:r>
            <w:r>
              <w:rPr>
                <w:rFonts w:ascii="Verdana" w:hAnsi="Verdana"/>
              </w:rPr>
              <w:t>Event Organiser</w:t>
            </w:r>
            <w:r>
              <w:rPr/>
              <w:t xml:space="preserve"> including.</w:t>
            </w:r>
          </w:p>
          <w:p>
            <w:pPr>
              <w:pStyle w:val="ListParagraph"/>
              <w:widowControl w:val="false"/>
              <w:numPr>
                <w:ilvl w:val="0"/>
                <w:numId w:val="10"/>
              </w:numPr>
              <w:ind w:hanging="360" w:start="720" w:end="0"/>
              <w:rPr/>
            </w:pPr>
            <w:r>
              <w:rPr/>
              <w:t>creation of charitable donation ‘Products’ so that guests can donate on-line for a specific charitable programme during registration for the event</w:t>
            </w:r>
          </w:p>
          <w:p>
            <w:pPr>
              <w:pStyle w:val="ListParagraph"/>
              <w:widowControl w:val="false"/>
              <w:numPr>
                <w:ilvl w:val="0"/>
                <w:numId w:val="10"/>
              </w:numPr>
              <w:ind w:hanging="360" w:start="720" w:end="0"/>
              <w:rPr/>
            </w:pPr>
            <w:r>
              <w:rPr/>
              <w:t>providing a link to the Soar Print website for the purchase of the history book, Mana Tangata – People of Action</w:t>
            </w:r>
          </w:p>
          <w:p>
            <w:pPr>
              <w:pStyle w:val="ListParagraph"/>
              <w:widowControl w:val="false"/>
              <w:ind w:hanging="0" w:start="-57" w:end="0"/>
              <w:rPr/>
            </w:pPr>
            <w:r>
              <w:rPr/>
              <w:t>Any remuneration, if any, for such services in outside this contract and if supplied without any agreement will be provided at no cost.</w:t>
            </w:r>
          </w:p>
        </w:tc>
      </w:tr>
      <w:tr>
        <w:trPr>
          <w:trHeight w:val="397" w:hRule="atLeast"/>
        </w:trPr>
        <w:tc>
          <w:tcPr>
            <w:tcW w:w="3393" w:type="dxa"/>
            <w:tcBorders>
              <w:start w:val="single" w:sz="4" w:space="0" w:color="000000"/>
              <w:bottom w:val="single" w:sz="4" w:space="0" w:color="000000"/>
              <w:end w:val="single" w:sz="4" w:space="0" w:color="000000"/>
            </w:tcBorders>
            <w:vAlign w:val="center"/>
          </w:tcPr>
          <w:p>
            <w:pPr>
              <w:pStyle w:val="Normal"/>
              <w:widowControl w:val="false"/>
              <w:rPr/>
            </w:pPr>
            <w:r>
              <w:rPr/>
              <w:t>Working Capital</w:t>
            </w:r>
          </w:p>
        </w:tc>
        <w:tc>
          <w:tcPr>
            <w:tcW w:w="6802" w:type="dxa"/>
            <w:gridSpan w:val="3"/>
            <w:tcBorders>
              <w:start w:val="single" w:sz="4" w:space="0" w:color="000000"/>
              <w:bottom w:val="single" w:sz="4" w:space="0" w:color="000000"/>
              <w:end w:val="single" w:sz="4" w:space="0" w:color="000000"/>
            </w:tcBorders>
            <w:vAlign w:val="center"/>
          </w:tcPr>
          <w:p>
            <w:pPr>
              <w:pStyle w:val="Normal"/>
              <w:widowControl w:val="false"/>
              <w:rPr/>
            </w:pPr>
            <w:r>
              <w:rPr/>
              <w:t>The Event Organiser will provide working capital to pay any required setup costs in advance of revenue received from ticket purchases.</w:t>
            </w:r>
          </w:p>
          <w:p>
            <w:pPr>
              <w:pStyle w:val="Normal"/>
              <w:widowControl w:val="false"/>
              <w:rPr/>
            </w:pPr>
            <w:r>
              <w:rPr/>
            </w:r>
          </w:p>
          <w:p>
            <w:pPr>
              <w:pStyle w:val="Normal"/>
              <w:widowControl w:val="false"/>
              <w:rPr/>
            </w:pPr>
            <w:r>
              <w:rPr/>
              <w:t>These services are provided on a limited recourse basis.  On completion of the event if the event programme is in profit the amount paid for the services shall refunded in part or in whole to each of the Event Organisers in accordance with their relative contributions.</w:t>
            </w:r>
          </w:p>
          <w:p>
            <w:pPr>
              <w:pStyle w:val="Normal"/>
              <w:widowControl w:val="false"/>
              <w:rPr/>
            </w:pPr>
            <w:r>
              <w:rPr/>
            </w:r>
          </w:p>
          <w:p>
            <w:pPr>
              <w:pStyle w:val="Normal"/>
              <w:widowControl w:val="false"/>
              <w:rPr/>
            </w:pPr>
            <w:r>
              <w:rPr/>
              <w:t xml:space="preserve">For any services provided in support of activities deemed to be in line with the RI Eligible Expenses framework, if there is any question in relation to these services under </w:t>
            </w:r>
            <w:r>
              <w:rPr/>
              <w:t xml:space="preserve">any </w:t>
            </w:r>
            <w:r>
              <w:rPr/>
              <w:t xml:space="preserve">RI </w:t>
            </w:r>
            <w:r>
              <w:rPr/>
              <w:t>Distrct</w:t>
            </w:r>
            <w:r>
              <w:rPr/>
              <w:t xml:space="preserve"> </w:t>
            </w:r>
            <w:r>
              <w:rPr/>
              <w:t xml:space="preserve">or other </w:t>
            </w:r>
            <w:r>
              <w:rPr/>
              <w:t>Budget, then the invoice may be reversed and the amount treated as a limited recourse loan to ROZevents.</w:t>
            </w:r>
          </w:p>
        </w:tc>
      </w:tr>
      <w:tr>
        <w:trPr>
          <w:trHeight w:val="66" w:hRule="atLeast"/>
        </w:trPr>
        <w:tc>
          <w:tcPr>
            <w:tcW w:w="3393" w:type="dxa"/>
            <w:vMerge w:val="restart"/>
            <w:tcBorders>
              <w:start w:val="single" w:sz="4" w:space="0" w:color="000000"/>
              <w:bottom w:val="single" w:sz="4" w:space="0" w:color="000000"/>
              <w:end w:val="single" w:sz="4" w:space="0" w:color="000000"/>
            </w:tcBorders>
            <w:vAlign w:val="center"/>
          </w:tcPr>
          <w:p>
            <w:pPr>
              <w:pStyle w:val="Normal"/>
              <w:widowControl w:val="false"/>
              <w:rPr/>
            </w:pPr>
            <w:r>
              <w:rPr/>
              <w:t>Event Organiser’s contracting forms</w:t>
            </w:r>
          </w:p>
        </w:tc>
        <w:tc>
          <w:tcPr>
            <w:tcW w:w="2268" w:type="dxa"/>
            <w:tcBorders>
              <w:start w:val="single" w:sz="4" w:space="0" w:color="000000"/>
              <w:bottom w:val="single" w:sz="4" w:space="0" w:color="000000"/>
            </w:tcBorders>
            <w:vAlign w:val="center"/>
          </w:tcPr>
          <w:p>
            <w:pPr>
              <w:pStyle w:val="Normal"/>
              <w:widowControl w:val="false"/>
              <w:jc w:val="center"/>
              <w:rPr>
                <w:b/>
                <w:bCs/>
              </w:rPr>
            </w:pPr>
            <w:r>
              <w:rPr>
                <w:b/>
                <w:bCs/>
              </w:rPr>
              <w:t>Form</w:t>
            </w:r>
          </w:p>
        </w:tc>
        <w:tc>
          <w:tcPr>
            <w:tcW w:w="2265" w:type="dxa"/>
            <w:tcBorders>
              <w:start w:val="single" w:sz="4" w:space="0" w:color="000000"/>
              <w:bottom w:val="single" w:sz="4" w:space="0" w:color="000000"/>
            </w:tcBorders>
            <w:vAlign w:val="center"/>
          </w:tcPr>
          <w:p>
            <w:pPr>
              <w:pStyle w:val="Normal"/>
              <w:widowControl w:val="false"/>
              <w:jc w:val="center"/>
              <w:rPr>
                <w:b/>
                <w:bCs/>
              </w:rPr>
            </w:pPr>
            <w:r>
              <w:rPr>
                <w:b/>
                <w:bCs/>
              </w:rPr>
              <w:t>ROZevent template</w:t>
            </w:r>
          </w:p>
          <w:p>
            <w:pPr>
              <w:pStyle w:val="Normal"/>
              <w:widowControl w:val="false"/>
              <w:jc w:val="center"/>
              <w:rPr>
                <w:b/>
                <w:bCs/>
              </w:rPr>
            </w:pPr>
            <w:r>
              <w:rPr>
                <w:b/>
                <w:bCs/>
              </w:rPr>
              <w:t>Tick if used</w:t>
            </w:r>
          </w:p>
        </w:tc>
        <w:tc>
          <w:tcPr>
            <w:tcW w:w="2269" w:type="dxa"/>
            <w:tcBorders>
              <w:start w:val="single" w:sz="4" w:space="0" w:color="000000"/>
              <w:bottom w:val="single" w:sz="4" w:space="0" w:color="000000"/>
              <w:end w:val="single" w:sz="4" w:space="0" w:color="000000"/>
            </w:tcBorders>
            <w:vAlign w:val="center"/>
          </w:tcPr>
          <w:p>
            <w:pPr>
              <w:pStyle w:val="Normal"/>
              <w:widowControl w:val="false"/>
              <w:jc w:val="center"/>
              <w:rPr>
                <w:b/>
                <w:bCs/>
              </w:rPr>
            </w:pPr>
            <w:r>
              <w:rPr>
                <w:b/>
                <w:bCs/>
              </w:rPr>
              <w:t>Other [name &amp; attach]</w:t>
            </w:r>
          </w:p>
        </w:tc>
      </w:tr>
      <w:tr>
        <w:trPr>
          <w:trHeight w:val="66" w:hRule="atLeast"/>
        </w:trPr>
        <w:tc>
          <w:tcPr>
            <w:tcW w:w="3393" w:type="dxa"/>
            <w:vMerge w:val="continue"/>
            <w:tcBorders>
              <w:start w:val="single" w:sz="4" w:space="0" w:color="000000"/>
              <w:bottom w:val="single" w:sz="4" w:space="0" w:color="000000"/>
              <w:end w:val="single" w:sz="4" w:space="0" w:color="000000"/>
            </w:tcBorders>
            <w:vAlign w:val="center"/>
          </w:tcPr>
          <w:p>
            <w:pPr>
              <w:pStyle w:val="Normal"/>
              <w:rPr/>
            </w:pPr>
            <w:r>
              <w:rPr/>
            </w:r>
          </w:p>
        </w:tc>
        <w:tc>
          <w:tcPr>
            <w:tcW w:w="2268" w:type="dxa"/>
            <w:tcBorders>
              <w:start w:val="single" w:sz="4" w:space="0" w:color="000000"/>
              <w:bottom w:val="single" w:sz="4" w:space="0" w:color="000000"/>
            </w:tcBorders>
            <w:vAlign w:val="center"/>
          </w:tcPr>
          <w:p>
            <w:pPr>
              <w:pStyle w:val="Normal"/>
              <w:widowControl w:val="false"/>
              <w:rPr/>
            </w:pPr>
            <w:r>
              <w:rPr/>
              <w:t>Home Owner Tour</w:t>
            </w:r>
          </w:p>
        </w:tc>
        <w:tc>
          <w:tcPr>
            <w:tcW w:w="2265" w:type="dxa"/>
            <w:tcBorders>
              <w:start w:val="single" w:sz="4" w:space="0" w:color="000000"/>
              <w:bottom w:val="single" w:sz="4" w:space="0" w:color="000000"/>
            </w:tcBorders>
            <w:vAlign w:val="center"/>
          </w:tcPr>
          <w:p>
            <w:pPr>
              <w:pStyle w:val="Normal"/>
              <w:widowControl w:val="false"/>
              <w:jc w:val="center"/>
              <w:rPr>
                <w:rFonts w:ascii="OpenSymbol" w:hAnsi="OpenSymbol" w:eastAsia="OpenSymbol" w:cs="OpenSymbol"/>
              </w:rPr>
            </w:pPr>
            <w:r>
              <w:rPr>
                <w:rFonts w:eastAsia="OpenSymbol" w:cs="OpenSymbol" w:ascii="OpenSymbol" w:hAnsi="OpenSymbol"/>
              </w:rPr>
              <w:t>□</w:t>
            </w:r>
          </w:p>
        </w:tc>
        <w:tc>
          <w:tcPr>
            <w:tcW w:w="2269" w:type="dxa"/>
            <w:tcBorders>
              <w:start w:val="single" w:sz="4" w:space="0" w:color="000000"/>
              <w:bottom w:val="single" w:sz="4" w:space="0" w:color="000000"/>
              <w:end w:val="single" w:sz="4" w:space="0" w:color="000000"/>
            </w:tcBorders>
            <w:vAlign w:val="center"/>
          </w:tcPr>
          <w:p>
            <w:pPr>
              <w:pStyle w:val="Normal"/>
              <w:widowControl w:val="false"/>
              <w:rPr/>
            </w:pPr>
            <w:r>
              <w:rPr/>
            </w:r>
          </w:p>
        </w:tc>
      </w:tr>
      <w:tr>
        <w:trPr>
          <w:trHeight w:val="66" w:hRule="atLeast"/>
        </w:trPr>
        <w:tc>
          <w:tcPr>
            <w:tcW w:w="3393" w:type="dxa"/>
            <w:vMerge w:val="continue"/>
            <w:tcBorders>
              <w:start w:val="single" w:sz="4" w:space="0" w:color="000000"/>
              <w:bottom w:val="single" w:sz="4" w:space="0" w:color="000000"/>
              <w:end w:val="single" w:sz="4" w:space="0" w:color="000000"/>
            </w:tcBorders>
            <w:vAlign w:val="center"/>
          </w:tcPr>
          <w:p>
            <w:pPr>
              <w:pStyle w:val="Normal"/>
              <w:rPr/>
            </w:pPr>
            <w:r>
              <w:rPr/>
            </w:r>
          </w:p>
        </w:tc>
        <w:tc>
          <w:tcPr>
            <w:tcW w:w="2268" w:type="dxa"/>
            <w:tcBorders>
              <w:start w:val="single" w:sz="4" w:space="0" w:color="000000"/>
              <w:bottom w:val="single" w:sz="4" w:space="0" w:color="000000"/>
            </w:tcBorders>
            <w:vAlign w:val="center"/>
          </w:tcPr>
          <w:p>
            <w:pPr>
              <w:pStyle w:val="Normal"/>
              <w:widowControl w:val="false"/>
              <w:rPr/>
            </w:pPr>
            <w:r>
              <w:rPr/>
              <w:t>Commerical Premises</w:t>
            </w:r>
            <w:r>
              <w:rPr/>
              <w:t xml:space="preserve"> Tour</w:t>
            </w:r>
          </w:p>
        </w:tc>
        <w:tc>
          <w:tcPr>
            <w:tcW w:w="2265" w:type="dxa"/>
            <w:tcBorders>
              <w:start w:val="single" w:sz="4" w:space="0" w:color="000000"/>
              <w:bottom w:val="single" w:sz="4" w:space="0" w:color="000000"/>
            </w:tcBorders>
            <w:vAlign w:val="center"/>
          </w:tcPr>
          <w:p>
            <w:pPr>
              <w:pStyle w:val="Normal"/>
              <w:widowControl w:val="false"/>
              <w:jc w:val="center"/>
              <w:rPr>
                <w:rFonts w:ascii="OpenSymbol" w:hAnsi="OpenSymbol" w:eastAsia="OpenSymbol" w:cs="OpenSymbol"/>
              </w:rPr>
            </w:pPr>
            <w:r>
              <w:rPr>
                <w:rFonts w:eastAsia="OpenSymbol" w:cs="OpenSymbol" w:ascii="OpenSymbol" w:hAnsi="OpenSymbol"/>
              </w:rPr>
              <w:t>□</w:t>
            </w:r>
          </w:p>
        </w:tc>
        <w:tc>
          <w:tcPr>
            <w:tcW w:w="2269" w:type="dxa"/>
            <w:tcBorders>
              <w:start w:val="single" w:sz="4" w:space="0" w:color="000000"/>
              <w:bottom w:val="single" w:sz="4" w:space="0" w:color="000000"/>
              <w:end w:val="single" w:sz="4" w:space="0" w:color="000000"/>
            </w:tcBorders>
            <w:vAlign w:val="center"/>
          </w:tcPr>
          <w:p>
            <w:pPr>
              <w:pStyle w:val="Normal"/>
              <w:widowControl w:val="false"/>
              <w:rPr/>
            </w:pPr>
            <w:r>
              <w:rPr/>
            </w:r>
          </w:p>
        </w:tc>
      </w:tr>
      <w:tr>
        <w:trPr>
          <w:trHeight w:val="66" w:hRule="atLeast"/>
        </w:trPr>
        <w:tc>
          <w:tcPr>
            <w:tcW w:w="3393" w:type="dxa"/>
            <w:vMerge w:val="continue"/>
            <w:tcBorders>
              <w:start w:val="single" w:sz="4" w:space="0" w:color="000000"/>
              <w:bottom w:val="single" w:sz="4" w:space="0" w:color="000000"/>
              <w:end w:val="single" w:sz="4" w:space="0" w:color="000000"/>
            </w:tcBorders>
            <w:vAlign w:val="center"/>
          </w:tcPr>
          <w:p>
            <w:pPr>
              <w:pStyle w:val="Normal"/>
              <w:rPr/>
            </w:pPr>
            <w:r>
              <w:rPr/>
            </w:r>
          </w:p>
        </w:tc>
        <w:tc>
          <w:tcPr>
            <w:tcW w:w="2268" w:type="dxa"/>
            <w:tcBorders>
              <w:start w:val="single" w:sz="4" w:space="0" w:color="000000"/>
              <w:bottom w:val="single" w:sz="4" w:space="0" w:color="000000"/>
            </w:tcBorders>
            <w:vAlign w:val="center"/>
          </w:tcPr>
          <w:p>
            <w:pPr>
              <w:pStyle w:val="Normal"/>
              <w:widowControl w:val="false"/>
              <w:rPr/>
            </w:pPr>
            <w:r>
              <w:rPr/>
              <w:t>Vehicle Rally</w:t>
            </w:r>
          </w:p>
        </w:tc>
        <w:tc>
          <w:tcPr>
            <w:tcW w:w="2265" w:type="dxa"/>
            <w:tcBorders>
              <w:start w:val="single" w:sz="4" w:space="0" w:color="000000"/>
              <w:bottom w:val="single" w:sz="4" w:space="0" w:color="000000"/>
            </w:tcBorders>
            <w:vAlign w:val="center"/>
          </w:tcPr>
          <w:p>
            <w:pPr>
              <w:pStyle w:val="Normal"/>
              <w:widowControl w:val="false"/>
              <w:jc w:val="center"/>
              <w:rPr>
                <w:rFonts w:ascii="OpenSymbol" w:hAnsi="OpenSymbol" w:eastAsia="OpenSymbol" w:cs="OpenSymbol"/>
              </w:rPr>
            </w:pPr>
            <w:r>
              <w:rPr>
                <w:rFonts w:eastAsia="OpenSymbol" w:cs="OpenSymbol" w:ascii="OpenSymbol" w:hAnsi="OpenSymbol"/>
              </w:rPr>
              <w:t>□</w:t>
            </w:r>
          </w:p>
        </w:tc>
        <w:tc>
          <w:tcPr>
            <w:tcW w:w="2269" w:type="dxa"/>
            <w:tcBorders>
              <w:start w:val="single" w:sz="4" w:space="0" w:color="000000"/>
              <w:bottom w:val="single" w:sz="4" w:space="0" w:color="000000"/>
              <w:end w:val="single" w:sz="4" w:space="0" w:color="000000"/>
            </w:tcBorders>
            <w:vAlign w:val="center"/>
          </w:tcPr>
          <w:p>
            <w:pPr>
              <w:pStyle w:val="Normal"/>
              <w:widowControl w:val="false"/>
              <w:rPr/>
            </w:pPr>
            <w:r>
              <w:rPr/>
            </w:r>
          </w:p>
        </w:tc>
      </w:tr>
      <w:tr>
        <w:trPr>
          <w:trHeight w:val="66" w:hRule="atLeast"/>
        </w:trPr>
        <w:tc>
          <w:tcPr>
            <w:tcW w:w="3393" w:type="dxa"/>
            <w:vMerge w:val="continue"/>
            <w:tcBorders>
              <w:start w:val="single" w:sz="4" w:space="0" w:color="000000"/>
              <w:bottom w:val="single" w:sz="4" w:space="0" w:color="000000"/>
              <w:end w:val="single" w:sz="4" w:space="0" w:color="000000"/>
            </w:tcBorders>
            <w:vAlign w:val="center"/>
          </w:tcPr>
          <w:p>
            <w:pPr>
              <w:pStyle w:val="Normal"/>
              <w:rPr/>
            </w:pPr>
            <w:r>
              <w:rPr/>
            </w:r>
          </w:p>
        </w:tc>
        <w:tc>
          <w:tcPr>
            <w:tcW w:w="2268" w:type="dxa"/>
            <w:tcBorders>
              <w:start w:val="single" w:sz="4" w:space="0" w:color="000000"/>
              <w:bottom w:val="single" w:sz="4" w:space="0" w:color="000000"/>
            </w:tcBorders>
            <w:vAlign w:val="center"/>
          </w:tcPr>
          <w:p>
            <w:pPr>
              <w:pStyle w:val="Normal"/>
              <w:widowControl w:val="false"/>
              <w:rPr/>
            </w:pPr>
            <w:r>
              <w:rPr/>
              <w:t>Stallholder</w:t>
            </w:r>
          </w:p>
        </w:tc>
        <w:tc>
          <w:tcPr>
            <w:tcW w:w="2265" w:type="dxa"/>
            <w:tcBorders>
              <w:start w:val="single" w:sz="4" w:space="0" w:color="000000"/>
              <w:bottom w:val="single" w:sz="4" w:space="0" w:color="000000"/>
            </w:tcBorders>
            <w:vAlign w:val="center"/>
          </w:tcPr>
          <w:p>
            <w:pPr>
              <w:pStyle w:val="Normal"/>
              <w:widowControl w:val="false"/>
              <w:jc w:val="center"/>
              <w:rPr>
                <w:rFonts w:ascii="OpenSymbol" w:hAnsi="OpenSymbol" w:eastAsia="OpenSymbol" w:cs="OpenSymbol"/>
              </w:rPr>
            </w:pPr>
            <w:r>
              <w:rPr>
                <w:rFonts w:eastAsia="OpenSymbol" w:cs="OpenSymbol" w:ascii="OpenSymbol" w:hAnsi="OpenSymbol"/>
              </w:rPr>
              <w:t>□</w:t>
            </w:r>
          </w:p>
        </w:tc>
        <w:tc>
          <w:tcPr>
            <w:tcW w:w="2269" w:type="dxa"/>
            <w:tcBorders>
              <w:start w:val="single" w:sz="4" w:space="0" w:color="000000"/>
              <w:bottom w:val="single" w:sz="4" w:space="0" w:color="000000"/>
              <w:end w:val="single" w:sz="4" w:space="0" w:color="000000"/>
            </w:tcBorders>
            <w:vAlign w:val="center"/>
          </w:tcPr>
          <w:p>
            <w:pPr>
              <w:pStyle w:val="Normal"/>
              <w:widowControl w:val="false"/>
              <w:rPr/>
            </w:pPr>
            <w:r>
              <w:rPr/>
            </w:r>
          </w:p>
        </w:tc>
      </w:tr>
      <w:tr>
        <w:trPr>
          <w:trHeight w:val="66" w:hRule="atLeast"/>
        </w:trPr>
        <w:tc>
          <w:tcPr>
            <w:tcW w:w="3393" w:type="dxa"/>
            <w:vMerge w:val="continue"/>
            <w:tcBorders>
              <w:start w:val="single" w:sz="4" w:space="0" w:color="000000"/>
              <w:bottom w:val="single" w:sz="4" w:space="0" w:color="000000"/>
              <w:end w:val="single" w:sz="4" w:space="0" w:color="000000"/>
            </w:tcBorders>
            <w:vAlign w:val="center"/>
          </w:tcPr>
          <w:p>
            <w:pPr>
              <w:pStyle w:val="Normal"/>
              <w:rPr/>
            </w:pPr>
            <w:r>
              <w:rPr/>
            </w:r>
          </w:p>
        </w:tc>
        <w:tc>
          <w:tcPr>
            <w:tcW w:w="2268" w:type="dxa"/>
            <w:tcBorders>
              <w:start w:val="single" w:sz="4" w:space="0" w:color="000000"/>
              <w:bottom w:val="single" w:sz="4" w:space="0" w:color="000000"/>
            </w:tcBorders>
            <w:vAlign w:val="center"/>
          </w:tcPr>
          <w:p>
            <w:pPr>
              <w:pStyle w:val="Normal"/>
              <w:widowControl w:val="false"/>
              <w:rPr/>
            </w:pPr>
            <w:r>
              <w:rPr/>
              <w:t>Trade Exhibitor</w:t>
            </w:r>
          </w:p>
        </w:tc>
        <w:tc>
          <w:tcPr>
            <w:tcW w:w="2265" w:type="dxa"/>
            <w:tcBorders>
              <w:start w:val="single" w:sz="4" w:space="0" w:color="000000"/>
              <w:bottom w:val="single" w:sz="4" w:space="0" w:color="000000"/>
            </w:tcBorders>
            <w:vAlign w:val="center"/>
          </w:tcPr>
          <w:p>
            <w:pPr>
              <w:pStyle w:val="Normal"/>
              <w:widowControl w:val="false"/>
              <w:jc w:val="center"/>
              <w:rPr>
                <w:rFonts w:ascii="OpenSymbol" w:hAnsi="OpenSymbol" w:eastAsia="OpenSymbol" w:cs="OpenSymbol"/>
              </w:rPr>
            </w:pPr>
            <w:r>
              <w:rPr>
                <w:rFonts w:eastAsia="OpenSymbol" w:cs="OpenSymbol" w:ascii="OpenSymbol" w:hAnsi="OpenSymbol"/>
              </w:rPr>
              <w:t>□</w:t>
            </w:r>
          </w:p>
        </w:tc>
        <w:tc>
          <w:tcPr>
            <w:tcW w:w="2269" w:type="dxa"/>
            <w:tcBorders>
              <w:start w:val="single" w:sz="4" w:space="0" w:color="000000"/>
              <w:bottom w:val="single" w:sz="4" w:space="0" w:color="000000"/>
              <w:end w:val="single" w:sz="4" w:space="0" w:color="000000"/>
            </w:tcBorders>
            <w:vAlign w:val="center"/>
          </w:tcPr>
          <w:p>
            <w:pPr>
              <w:pStyle w:val="Normal"/>
              <w:widowControl w:val="false"/>
              <w:rPr/>
            </w:pPr>
            <w:r>
              <w:rPr/>
            </w:r>
          </w:p>
        </w:tc>
      </w:tr>
      <w:tr>
        <w:trPr>
          <w:trHeight w:val="66" w:hRule="atLeast"/>
        </w:trPr>
        <w:tc>
          <w:tcPr>
            <w:tcW w:w="3393" w:type="dxa"/>
            <w:vMerge w:val="continue"/>
            <w:tcBorders>
              <w:start w:val="single" w:sz="4" w:space="0" w:color="000000"/>
              <w:bottom w:val="single" w:sz="4" w:space="0" w:color="000000"/>
              <w:end w:val="single" w:sz="4" w:space="0" w:color="000000"/>
            </w:tcBorders>
            <w:vAlign w:val="center"/>
          </w:tcPr>
          <w:p>
            <w:pPr>
              <w:pStyle w:val="Normal"/>
              <w:rPr/>
            </w:pPr>
            <w:r>
              <w:rPr/>
            </w:r>
          </w:p>
        </w:tc>
        <w:tc>
          <w:tcPr>
            <w:tcW w:w="2268" w:type="dxa"/>
            <w:tcBorders>
              <w:start w:val="single" w:sz="4" w:space="0" w:color="000000"/>
              <w:bottom w:val="single" w:sz="4" w:space="0" w:color="000000"/>
            </w:tcBorders>
            <w:vAlign w:val="center"/>
          </w:tcPr>
          <w:p>
            <w:pPr>
              <w:pStyle w:val="Normal"/>
              <w:widowControl w:val="false"/>
              <w:rPr/>
            </w:pPr>
            <w:r>
              <w:rPr/>
              <w:t>Musician</w:t>
            </w:r>
          </w:p>
        </w:tc>
        <w:tc>
          <w:tcPr>
            <w:tcW w:w="2265" w:type="dxa"/>
            <w:tcBorders>
              <w:start w:val="single" w:sz="4" w:space="0" w:color="000000"/>
              <w:bottom w:val="single" w:sz="4" w:space="0" w:color="000000"/>
            </w:tcBorders>
            <w:vAlign w:val="center"/>
          </w:tcPr>
          <w:p>
            <w:pPr>
              <w:pStyle w:val="Normal"/>
              <w:widowControl w:val="false"/>
              <w:jc w:val="center"/>
              <w:rPr>
                <w:rFonts w:ascii="OpenSymbol" w:hAnsi="OpenSymbol" w:eastAsia="OpenSymbol" w:cs="OpenSymbol"/>
              </w:rPr>
            </w:pPr>
            <w:r>
              <w:rPr>
                <w:rFonts w:eastAsia="OpenSymbol" w:cs="OpenSymbol" w:ascii="OpenSymbol" w:hAnsi="OpenSymbol"/>
              </w:rPr>
              <w:t>□</w:t>
            </w:r>
          </w:p>
        </w:tc>
        <w:tc>
          <w:tcPr>
            <w:tcW w:w="2269" w:type="dxa"/>
            <w:tcBorders>
              <w:start w:val="single" w:sz="4" w:space="0" w:color="000000"/>
              <w:bottom w:val="single" w:sz="4" w:space="0" w:color="000000"/>
              <w:end w:val="single" w:sz="4" w:space="0" w:color="000000"/>
            </w:tcBorders>
            <w:vAlign w:val="center"/>
          </w:tcPr>
          <w:p>
            <w:pPr>
              <w:pStyle w:val="Normal"/>
              <w:widowControl w:val="false"/>
              <w:rPr/>
            </w:pPr>
            <w:r>
              <w:rPr/>
            </w:r>
          </w:p>
        </w:tc>
      </w:tr>
      <w:tr>
        <w:trPr>
          <w:trHeight w:val="66" w:hRule="atLeast"/>
        </w:trPr>
        <w:tc>
          <w:tcPr>
            <w:tcW w:w="3393" w:type="dxa"/>
            <w:vMerge w:val="continue"/>
            <w:tcBorders>
              <w:start w:val="single" w:sz="4" w:space="0" w:color="000000"/>
              <w:bottom w:val="single" w:sz="4" w:space="0" w:color="000000"/>
              <w:end w:val="single" w:sz="4" w:space="0" w:color="000000"/>
            </w:tcBorders>
            <w:vAlign w:val="center"/>
          </w:tcPr>
          <w:p>
            <w:pPr>
              <w:pStyle w:val="Normal"/>
              <w:rPr/>
            </w:pPr>
            <w:r>
              <w:rPr/>
            </w:r>
          </w:p>
        </w:tc>
        <w:tc>
          <w:tcPr>
            <w:tcW w:w="2268" w:type="dxa"/>
            <w:tcBorders>
              <w:start w:val="single" w:sz="4" w:space="0" w:color="000000"/>
              <w:bottom w:val="single" w:sz="4" w:space="0" w:color="000000"/>
            </w:tcBorders>
            <w:vAlign w:val="center"/>
          </w:tcPr>
          <w:p>
            <w:pPr>
              <w:pStyle w:val="Normal"/>
              <w:widowControl w:val="false"/>
              <w:rPr/>
            </w:pPr>
            <w:r>
              <w:rPr/>
              <w:t>Other</w:t>
            </w:r>
          </w:p>
        </w:tc>
        <w:tc>
          <w:tcPr>
            <w:tcW w:w="2265" w:type="dxa"/>
            <w:tcBorders>
              <w:start w:val="single" w:sz="4" w:space="0" w:color="000000"/>
              <w:bottom w:val="single" w:sz="4" w:space="0" w:color="000000"/>
            </w:tcBorders>
            <w:shd w:fill="999999" w:val="clear"/>
            <w:vAlign w:val="center"/>
          </w:tcPr>
          <w:p>
            <w:pPr>
              <w:pStyle w:val="Normal"/>
              <w:widowControl w:val="false"/>
              <w:rPr/>
            </w:pPr>
            <w:r>
              <w:rPr/>
            </w:r>
          </w:p>
        </w:tc>
        <w:tc>
          <w:tcPr>
            <w:tcW w:w="2269" w:type="dxa"/>
            <w:tcBorders>
              <w:start w:val="single" w:sz="4" w:space="0" w:color="000000"/>
              <w:bottom w:val="single" w:sz="4" w:space="0" w:color="000000"/>
              <w:end w:val="single" w:sz="4" w:space="0" w:color="000000"/>
            </w:tcBorders>
            <w:vAlign w:val="center"/>
          </w:tcPr>
          <w:p>
            <w:pPr>
              <w:pStyle w:val="Normal"/>
              <w:widowControl w:val="false"/>
              <w:rPr/>
            </w:pPr>
            <w:r>
              <w:rPr/>
            </w:r>
          </w:p>
        </w:tc>
      </w:tr>
      <w:tr>
        <w:trPr>
          <w:trHeight w:val="397" w:hRule="atLeast"/>
        </w:trPr>
        <w:tc>
          <w:tcPr>
            <w:tcW w:w="3393" w:type="dxa"/>
            <w:tcBorders>
              <w:start w:val="single" w:sz="4" w:space="0" w:color="000000"/>
              <w:bottom w:val="single" w:sz="4" w:space="0" w:color="000000"/>
              <w:end w:val="single" w:sz="4" w:space="0" w:color="000000"/>
            </w:tcBorders>
            <w:vAlign w:val="center"/>
          </w:tcPr>
          <w:p>
            <w:pPr>
              <w:pStyle w:val="Normal"/>
              <w:widowControl w:val="false"/>
              <w:rPr/>
            </w:pPr>
            <w:r>
              <w:rPr/>
              <w:t>Dispute Resolution</w:t>
            </w:r>
          </w:p>
        </w:tc>
        <w:tc>
          <w:tcPr>
            <w:tcW w:w="6802" w:type="dxa"/>
            <w:gridSpan w:val="3"/>
            <w:tcBorders>
              <w:start w:val="single" w:sz="4" w:space="0" w:color="000000"/>
              <w:bottom w:val="single" w:sz="4" w:space="0" w:color="000000"/>
              <w:end w:val="single" w:sz="4" w:space="0" w:color="000000"/>
            </w:tcBorders>
            <w:vAlign w:val="center"/>
          </w:tcPr>
          <w:p>
            <w:pPr>
              <w:pStyle w:val="Normal"/>
              <w:widowControl w:val="false"/>
              <w:rPr/>
            </w:pPr>
            <w:r>
              <w:rPr/>
              <w:t xml:space="preserve">Dispute resolution outside the Event PCG shall be by reference to mediation </w:t>
            </w:r>
            <w:r>
              <w:rPr>
                <w:rFonts w:ascii="Verdana" w:hAnsi="Verdana"/>
              </w:rPr>
              <w:t xml:space="preserve">by any party with a mediator from the ROZops mediator panel.   Mediators are Past District Governors and are from time-to-time appointed by the ROZops Board to that position.  The Chair of the Mediator Group shall be appoint by those </w:t>
            </w:r>
            <w:r>
              <w:rPr>
                <w:rFonts w:ascii="Verdana" w:hAnsi="Verdana"/>
              </w:rPr>
              <w:t>Past District Governors</w:t>
            </w:r>
            <w:r>
              <w:rPr>
                <w:rFonts w:ascii="Verdana" w:hAnsi="Verdana"/>
              </w:rPr>
              <w:t xml:space="preserve"> on the list and shall select the mediator on any reference by any party to this contract.  The costs and procedures of the mediator shall be determined by the List of mediators or in the absence of any costs and procedures agreement, then in accordance with the rules of the Resolution Institute  or a similar organisation in New Zealand.</w:t>
            </w:r>
          </w:p>
          <w:p>
            <w:pPr>
              <w:pStyle w:val="Normal"/>
              <w:widowControl w:val="false"/>
              <w:rPr>
                <w:rFonts w:ascii="Verdana" w:hAnsi="Verdana"/>
              </w:rPr>
            </w:pPr>
            <w:r>
              <w:rPr>
                <w:rFonts w:ascii="Verdana" w:hAnsi="Verdana"/>
              </w:rPr>
            </w:r>
          </w:p>
          <w:p>
            <w:pPr>
              <w:pStyle w:val="Normal"/>
              <w:widowControl w:val="false"/>
              <w:rPr>
                <w:rFonts w:ascii="Verdana" w:hAnsi="Verdana"/>
              </w:rPr>
            </w:pPr>
            <w:r>
              <w:rPr>
                <w:rFonts w:ascii="Verdana" w:hAnsi="Verdana"/>
              </w:rPr>
              <w:t>If mediation fails the parties may refer any dispute to arbitration.</w:t>
            </w:r>
          </w:p>
          <w:p>
            <w:pPr>
              <w:pStyle w:val="Normal"/>
              <w:widowControl w:val="false"/>
              <w:rPr>
                <w:rFonts w:ascii="Verdana" w:hAnsi="Verdana"/>
              </w:rPr>
            </w:pPr>
            <w:r>
              <w:rPr>
                <w:rFonts w:ascii="Verdana" w:hAnsi="Verdana"/>
              </w:rPr>
            </w:r>
          </w:p>
          <w:p>
            <w:pPr>
              <w:pStyle w:val="Normal"/>
              <w:widowControl w:val="false"/>
              <w:rPr>
                <w:rFonts w:ascii="Verdana" w:hAnsi="Verdana"/>
              </w:rPr>
            </w:pPr>
            <w:r>
              <w:rPr>
                <w:rFonts w:ascii="Verdana" w:hAnsi="Verdana"/>
              </w:rPr>
              <w:t>All disputes must be conduct in a manner ensure the good reputation of Rotary and its Rotarians remains a key to both resolution and preservation of public image.</w:t>
            </w:r>
          </w:p>
        </w:tc>
      </w:tr>
    </w:tbl>
    <w:p>
      <w:pPr>
        <w:pStyle w:val="Normal"/>
        <w:rPr/>
      </w:pPr>
      <w:r>
        <w:rPr/>
      </w:r>
    </w:p>
    <w:p>
      <w:pPr>
        <w:pStyle w:val="Normal"/>
        <w:rPr/>
      </w:pPr>
      <w:r>
        <w:rPr/>
      </w:r>
    </w:p>
    <w:p>
      <w:pPr>
        <w:pStyle w:val="Normal"/>
        <w:rPr/>
      </w:pPr>
      <w:r>
        <w:rPr/>
      </w:r>
      <w:r>
        <w:br w:type="page"/>
      </w:r>
    </w:p>
    <w:p>
      <w:pPr>
        <w:pStyle w:val="Normal"/>
        <w:rPr>
          <w:sz w:val="24"/>
        </w:rPr>
      </w:pPr>
      <w:r>
        <w:rPr>
          <w:sz w:val="24"/>
        </w:rPr>
      </w:r>
    </w:p>
    <w:p>
      <w:pPr>
        <w:pStyle w:val="Normal"/>
        <w:jc w:val="center"/>
        <w:rPr>
          <w:rFonts w:ascii="Book Antiqua" w:hAnsi="Book Antiqua"/>
          <w:sz w:val="16"/>
        </w:rPr>
      </w:pPr>
      <w:r>
        <w:rPr>
          <w:rFonts w:ascii="Book Antiqua" w:hAnsi="Book Antiqua"/>
          <w:sz w:val="16"/>
        </w:rPr>
      </w:r>
    </w:p>
    <w:tbl>
      <w:tblPr>
        <w:tblW w:w="10200" w:type="dxa"/>
        <w:jc w:val="start"/>
        <w:tblInd w:w="9" w:type="dxa"/>
        <w:tblLayout w:type="fixed"/>
        <w:tblCellMar>
          <w:top w:w="108" w:type="dxa"/>
          <w:start w:w="103" w:type="dxa"/>
          <w:bottom w:w="108" w:type="dxa"/>
          <w:end w:w="108" w:type="dxa"/>
        </w:tblCellMar>
      </w:tblPr>
      <w:tblGrid>
        <w:gridCol w:w="2275"/>
        <w:gridCol w:w="2825"/>
        <w:gridCol w:w="3013"/>
        <w:gridCol w:w="2087"/>
      </w:tblGrid>
      <w:tr>
        <w:trPr/>
        <w:tc>
          <w:tcPr>
            <w:tcW w:w="10200" w:type="dxa"/>
            <w:gridSpan w:val="4"/>
            <w:tcBorders>
              <w:top w:val="single" w:sz="4" w:space="0" w:color="000001"/>
              <w:start w:val="single" w:sz="4" w:space="0" w:color="000001"/>
              <w:bottom w:val="single" w:sz="4" w:space="0" w:color="000001"/>
              <w:end w:val="single" w:sz="4" w:space="0" w:color="000001"/>
            </w:tcBorders>
            <w:shd w:fill="2A6099" w:val="clear"/>
          </w:tcPr>
          <w:p>
            <w:pPr>
              <w:pStyle w:val="Normal"/>
              <w:widowControl w:val="false"/>
              <w:spacing w:before="200" w:after="60"/>
              <w:jc w:val="center"/>
              <w:rPr>
                <w:b/>
                <w:color w:val="FFFFFF"/>
                <w:sz w:val="28"/>
                <w:szCs w:val="16"/>
              </w:rPr>
            </w:pPr>
            <w:r>
              <w:rPr>
                <w:b/>
                <w:color w:val="FFFFFF"/>
                <w:sz w:val="28"/>
                <w:szCs w:val="16"/>
              </w:rPr>
              <w:t>Sign-off</w:t>
            </w:r>
          </w:p>
        </w:tc>
      </w:tr>
      <w:tr>
        <w:trPr/>
        <w:tc>
          <w:tcPr>
            <w:tcW w:w="2275" w:type="dxa"/>
            <w:tcBorders>
              <w:start w:val="single" w:sz="4" w:space="0" w:color="000001"/>
              <w:bottom w:val="single" w:sz="4" w:space="0" w:color="000001"/>
            </w:tcBorders>
          </w:tcPr>
          <w:p>
            <w:pPr>
              <w:pStyle w:val="Normal"/>
              <w:widowControl w:val="false"/>
              <w:spacing w:before="200" w:after="60"/>
              <w:rPr>
                <w:sz w:val="16"/>
                <w:szCs w:val="16"/>
              </w:rPr>
            </w:pPr>
            <w:r>
              <w:rPr>
                <w:sz w:val="16"/>
                <w:szCs w:val="16"/>
              </w:rPr>
            </w:r>
          </w:p>
        </w:tc>
        <w:tc>
          <w:tcPr>
            <w:tcW w:w="2825" w:type="dxa"/>
            <w:tcBorders>
              <w:start w:val="single" w:sz="4" w:space="0" w:color="000001"/>
              <w:bottom w:val="single" w:sz="4" w:space="0" w:color="000001"/>
            </w:tcBorders>
          </w:tcPr>
          <w:p>
            <w:pPr>
              <w:pStyle w:val="Normal"/>
              <w:widowControl w:val="false"/>
              <w:spacing w:before="200" w:after="60"/>
              <w:jc w:val="center"/>
              <w:rPr>
                <w:sz w:val="16"/>
                <w:szCs w:val="16"/>
              </w:rPr>
            </w:pPr>
            <w:r>
              <w:rPr>
                <w:sz w:val="16"/>
                <w:szCs w:val="16"/>
              </w:rPr>
              <w:t>Signature</w:t>
            </w:r>
          </w:p>
        </w:tc>
        <w:tc>
          <w:tcPr>
            <w:tcW w:w="3013" w:type="dxa"/>
            <w:tcBorders>
              <w:start w:val="single" w:sz="4" w:space="0" w:color="000001"/>
              <w:bottom w:val="single" w:sz="4" w:space="0" w:color="000001"/>
            </w:tcBorders>
          </w:tcPr>
          <w:p>
            <w:pPr>
              <w:pStyle w:val="Normal"/>
              <w:widowControl w:val="false"/>
              <w:spacing w:before="200" w:after="60"/>
              <w:jc w:val="center"/>
              <w:rPr>
                <w:sz w:val="16"/>
                <w:szCs w:val="16"/>
              </w:rPr>
            </w:pPr>
            <w:r>
              <w:rPr>
                <w:sz w:val="16"/>
                <w:szCs w:val="16"/>
              </w:rPr>
              <w:t>Title</w:t>
            </w:r>
          </w:p>
        </w:tc>
        <w:tc>
          <w:tcPr>
            <w:tcW w:w="2087" w:type="dxa"/>
            <w:tcBorders>
              <w:start w:val="single" w:sz="4" w:space="0" w:color="000001"/>
              <w:bottom w:val="single" w:sz="4" w:space="0" w:color="000001"/>
              <w:end w:val="single" w:sz="4" w:space="0" w:color="000001"/>
            </w:tcBorders>
          </w:tcPr>
          <w:p>
            <w:pPr>
              <w:pStyle w:val="Normal"/>
              <w:widowControl w:val="false"/>
              <w:spacing w:before="200" w:after="60"/>
              <w:jc w:val="center"/>
              <w:rPr>
                <w:sz w:val="16"/>
                <w:szCs w:val="16"/>
              </w:rPr>
            </w:pPr>
            <w:r>
              <w:rPr>
                <w:sz w:val="16"/>
                <w:szCs w:val="16"/>
              </w:rPr>
              <w:t>Date</w:t>
            </w:r>
          </w:p>
        </w:tc>
      </w:tr>
      <w:tr>
        <w:trPr/>
        <w:tc>
          <w:tcPr>
            <w:tcW w:w="2275" w:type="dxa"/>
            <w:tcBorders>
              <w:top w:val="single" w:sz="4" w:space="0" w:color="000001"/>
              <w:start w:val="single" w:sz="4" w:space="0" w:color="000001"/>
              <w:bottom w:val="single" w:sz="4" w:space="0" w:color="000001"/>
            </w:tcBorders>
            <w:tcMar>
              <w:top w:w="0" w:type="dxa"/>
              <w:bottom w:w="0" w:type="dxa"/>
            </w:tcMar>
          </w:tcPr>
          <w:p>
            <w:pPr>
              <w:pStyle w:val="Normal"/>
              <w:widowControl w:val="false"/>
              <w:spacing w:before="200" w:after="60"/>
              <w:rPr>
                <w:sz w:val="16"/>
                <w:szCs w:val="16"/>
              </w:rPr>
            </w:pPr>
            <w:r>
              <w:rPr>
                <w:sz w:val="16"/>
                <w:szCs w:val="16"/>
              </w:rPr>
              <w:t>For ROZevents</w:t>
            </w:r>
          </w:p>
          <w:p>
            <w:pPr>
              <w:pStyle w:val="Normal"/>
              <w:widowControl w:val="false"/>
              <w:spacing w:before="200" w:after="60"/>
              <w:rPr>
                <w:sz w:val="16"/>
                <w:szCs w:val="16"/>
              </w:rPr>
            </w:pPr>
            <w:r>
              <w:rPr>
                <w:sz w:val="16"/>
                <w:szCs w:val="16"/>
              </w:rPr>
            </w:r>
          </w:p>
        </w:tc>
        <w:tc>
          <w:tcPr>
            <w:tcW w:w="2825" w:type="dxa"/>
            <w:tcBorders>
              <w:top w:val="single" w:sz="4" w:space="0" w:color="000001"/>
              <w:start w:val="single" w:sz="4" w:space="0" w:color="000001"/>
              <w:bottom w:val="single" w:sz="4" w:space="0" w:color="000001"/>
            </w:tcBorders>
            <w:tcMar>
              <w:top w:w="0" w:type="dxa"/>
              <w:bottom w:w="0" w:type="dxa"/>
            </w:tcMar>
          </w:tcPr>
          <w:p>
            <w:pPr>
              <w:pStyle w:val="Normal"/>
              <w:widowControl w:val="false"/>
              <w:spacing w:before="200" w:after="60"/>
              <w:rPr>
                <w:sz w:val="16"/>
                <w:szCs w:val="16"/>
              </w:rPr>
            </w:pPr>
            <w:r>
              <w:rPr>
                <w:sz w:val="16"/>
                <w:szCs w:val="16"/>
              </w:rPr>
            </w:r>
          </w:p>
        </w:tc>
        <w:tc>
          <w:tcPr>
            <w:tcW w:w="3013" w:type="dxa"/>
            <w:tcBorders>
              <w:top w:val="single" w:sz="4" w:space="0" w:color="000001"/>
              <w:start w:val="single" w:sz="4" w:space="0" w:color="000001"/>
              <w:bottom w:val="single" w:sz="4" w:space="0" w:color="000001"/>
            </w:tcBorders>
            <w:tcMar>
              <w:top w:w="0" w:type="dxa"/>
              <w:bottom w:w="0" w:type="dxa"/>
            </w:tcMar>
          </w:tcPr>
          <w:p>
            <w:pPr>
              <w:pStyle w:val="Normal"/>
              <w:widowControl w:val="false"/>
              <w:spacing w:before="200" w:after="60"/>
              <w:rPr>
                <w:sz w:val="16"/>
                <w:szCs w:val="16"/>
              </w:rPr>
            </w:pPr>
            <w:r>
              <w:rPr>
                <w:sz w:val="16"/>
                <w:szCs w:val="16"/>
              </w:rPr>
              <w:t>Chair</w:t>
            </w:r>
          </w:p>
        </w:tc>
        <w:tc>
          <w:tcPr>
            <w:tcW w:w="2087" w:type="dxa"/>
            <w:tcBorders>
              <w:top w:val="single" w:sz="4" w:space="0" w:color="000001"/>
              <w:start w:val="single" w:sz="4" w:space="0" w:color="000001"/>
              <w:bottom w:val="single" w:sz="4" w:space="0" w:color="000001"/>
              <w:end w:val="single" w:sz="4" w:space="0" w:color="000001"/>
            </w:tcBorders>
            <w:tcMar>
              <w:top w:w="0" w:type="dxa"/>
              <w:bottom w:w="0" w:type="dxa"/>
            </w:tcMar>
          </w:tcPr>
          <w:p>
            <w:pPr>
              <w:pStyle w:val="Normal"/>
              <w:widowControl w:val="false"/>
              <w:spacing w:before="200" w:after="60"/>
              <w:rPr>
                <w:sz w:val="16"/>
                <w:szCs w:val="16"/>
              </w:rPr>
            </w:pPr>
            <w:r>
              <w:rPr>
                <w:sz w:val="16"/>
                <w:szCs w:val="16"/>
              </w:rPr>
            </w:r>
          </w:p>
        </w:tc>
      </w:tr>
      <w:tr>
        <w:trPr/>
        <w:tc>
          <w:tcPr>
            <w:tcW w:w="2275" w:type="dxa"/>
            <w:tcBorders>
              <w:top w:val="single" w:sz="4" w:space="0" w:color="000001"/>
              <w:start w:val="single" w:sz="4" w:space="0" w:color="000001"/>
              <w:bottom w:val="single" w:sz="4" w:space="0" w:color="000001"/>
            </w:tcBorders>
            <w:tcMar>
              <w:top w:w="0" w:type="dxa"/>
              <w:bottom w:w="0" w:type="dxa"/>
            </w:tcMar>
          </w:tcPr>
          <w:p>
            <w:pPr>
              <w:pStyle w:val="Normal"/>
              <w:widowControl w:val="false"/>
              <w:spacing w:before="200" w:after="60"/>
              <w:rPr>
                <w:sz w:val="16"/>
                <w:szCs w:val="16"/>
              </w:rPr>
            </w:pPr>
            <w:r>
              <w:rPr>
                <w:sz w:val="16"/>
                <w:szCs w:val="16"/>
              </w:rPr>
              <w:t>For Event Organiser</w:t>
            </w:r>
          </w:p>
          <w:p>
            <w:pPr>
              <w:pStyle w:val="Normal"/>
              <w:widowControl w:val="false"/>
              <w:spacing w:before="200" w:after="60"/>
              <w:rPr>
                <w:sz w:val="16"/>
                <w:szCs w:val="16"/>
              </w:rPr>
            </w:pPr>
            <w:r>
              <w:rPr>
                <w:sz w:val="16"/>
                <w:szCs w:val="16"/>
              </w:rPr>
            </w:r>
          </w:p>
          <w:p>
            <w:pPr>
              <w:pStyle w:val="Normal"/>
              <w:widowControl w:val="false"/>
              <w:spacing w:before="200" w:after="60"/>
              <w:rPr>
                <w:sz w:val="16"/>
                <w:szCs w:val="16"/>
              </w:rPr>
            </w:pPr>
            <w:r>
              <w:rPr>
                <w:sz w:val="16"/>
                <w:szCs w:val="16"/>
              </w:rPr>
            </w:r>
          </w:p>
        </w:tc>
        <w:tc>
          <w:tcPr>
            <w:tcW w:w="2825" w:type="dxa"/>
            <w:tcBorders>
              <w:top w:val="single" w:sz="4" w:space="0" w:color="000001"/>
              <w:start w:val="single" w:sz="4" w:space="0" w:color="000001"/>
              <w:bottom w:val="single" w:sz="4" w:space="0" w:color="000001"/>
            </w:tcBorders>
            <w:tcMar>
              <w:top w:w="0" w:type="dxa"/>
              <w:bottom w:w="0" w:type="dxa"/>
            </w:tcMar>
          </w:tcPr>
          <w:p>
            <w:pPr>
              <w:pStyle w:val="Normal"/>
              <w:widowControl w:val="false"/>
              <w:spacing w:before="200" w:after="60"/>
              <w:rPr>
                <w:sz w:val="16"/>
                <w:szCs w:val="16"/>
              </w:rPr>
            </w:pPr>
            <w:r>
              <w:rPr>
                <w:sz w:val="16"/>
                <w:szCs w:val="16"/>
              </w:rPr>
            </w:r>
          </w:p>
        </w:tc>
        <w:tc>
          <w:tcPr>
            <w:tcW w:w="3013" w:type="dxa"/>
            <w:tcBorders>
              <w:top w:val="single" w:sz="4" w:space="0" w:color="000001"/>
              <w:start w:val="single" w:sz="4" w:space="0" w:color="000001"/>
              <w:bottom w:val="single" w:sz="4" w:space="0" w:color="000001"/>
            </w:tcBorders>
            <w:tcMar>
              <w:top w:w="0" w:type="dxa"/>
              <w:bottom w:w="0" w:type="dxa"/>
            </w:tcMar>
          </w:tcPr>
          <w:p>
            <w:pPr>
              <w:pStyle w:val="Normal"/>
              <w:widowControl w:val="false"/>
              <w:spacing w:before="200" w:after="60"/>
              <w:rPr>
                <w:sz w:val="16"/>
                <w:szCs w:val="16"/>
              </w:rPr>
            </w:pPr>
            <w:r>
              <w:rPr>
                <w:sz w:val="16"/>
                <w:szCs w:val="16"/>
              </w:rPr>
            </w:r>
          </w:p>
          <w:p>
            <w:pPr>
              <w:pStyle w:val="Normal"/>
              <w:widowControl w:val="false"/>
              <w:spacing w:before="200" w:after="60"/>
              <w:rPr>
                <w:sz w:val="16"/>
                <w:szCs w:val="16"/>
              </w:rPr>
            </w:pPr>
            <w:r>
              <w:rPr>
                <w:sz w:val="16"/>
                <w:szCs w:val="16"/>
              </w:rPr>
            </w:r>
          </w:p>
          <w:p>
            <w:pPr>
              <w:pStyle w:val="Normal"/>
              <w:widowControl w:val="false"/>
              <w:spacing w:before="200" w:after="60"/>
              <w:rPr>
                <w:sz w:val="16"/>
                <w:szCs w:val="16"/>
              </w:rPr>
            </w:pPr>
            <w:r>
              <w:rPr>
                <w:sz w:val="16"/>
                <w:szCs w:val="16"/>
              </w:rPr>
              <w:t>[write in title above]</w:t>
            </w:r>
          </w:p>
        </w:tc>
        <w:tc>
          <w:tcPr>
            <w:tcW w:w="2087" w:type="dxa"/>
            <w:tcBorders>
              <w:top w:val="single" w:sz="4" w:space="0" w:color="000001"/>
              <w:start w:val="single" w:sz="4" w:space="0" w:color="000001"/>
              <w:bottom w:val="single" w:sz="4" w:space="0" w:color="000001"/>
              <w:end w:val="single" w:sz="4" w:space="0" w:color="000001"/>
            </w:tcBorders>
            <w:tcMar>
              <w:top w:w="0" w:type="dxa"/>
              <w:bottom w:w="0" w:type="dxa"/>
            </w:tcMar>
          </w:tcPr>
          <w:p>
            <w:pPr>
              <w:pStyle w:val="Normal"/>
              <w:widowControl w:val="false"/>
              <w:spacing w:before="200" w:after="60"/>
              <w:rPr>
                <w:sz w:val="16"/>
                <w:szCs w:val="16"/>
              </w:rPr>
            </w:pPr>
            <w:r>
              <w:rPr>
                <w:sz w:val="16"/>
                <w:szCs w:val="16"/>
              </w:rPr>
            </w:r>
          </w:p>
        </w:tc>
      </w:tr>
      <w:tr>
        <w:trPr/>
        <w:tc>
          <w:tcPr>
            <w:tcW w:w="2275" w:type="dxa"/>
            <w:tcBorders>
              <w:start w:val="single" w:sz="4" w:space="0" w:color="000001"/>
              <w:bottom w:val="single" w:sz="4" w:space="0" w:color="000001"/>
            </w:tcBorders>
            <w:tcMar>
              <w:top w:w="0" w:type="dxa"/>
              <w:bottom w:w="0" w:type="dxa"/>
            </w:tcMar>
          </w:tcPr>
          <w:p>
            <w:pPr>
              <w:pStyle w:val="Normal"/>
              <w:widowControl w:val="false"/>
              <w:spacing w:before="200" w:after="60"/>
              <w:rPr>
                <w:sz w:val="16"/>
                <w:szCs w:val="16"/>
              </w:rPr>
            </w:pPr>
            <w:r>
              <w:rPr>
                <w:sz w:val="16"/>
                <w:szCs w:val="16"/>
              </w:rPr>
              <w:t>For Event Organiser</w:t>
            </w:r>
          </w:p>
          <w:p>
            <w:pPr>
              <w:pStyle w:val="Normal"/>
              <w:widowControl w:val="false"/>
              <w:spacing w:before="200" w:after="60"/>
              <w:rPr>
                <w:sz w:val="16"/>
                <w:szCs w:val="16"/>
              </w:rPr>
            </w:pPr>
            <w:r>
              <w:rPr>
                <w:sz w:val="16"/>
                <w:szCs w:val="16"/>
              </w:rPr>
              <w:t>[enter if joint venture partners]</w:t>
            </w:r>
          </w:p>
          <w:p>
            <w:pPr>
              <w:pStyle w:val="Normal"/>
              <w:widowControl w:val="false"/>
              <w:spacing w:before="200" w:after="60"/>
              <w:rPr>
                <w:sz w:val="16"/>
                <w:szCs w:val="16"/>
              </w:rPr>
            </w:pPr>
            <w:r>
              <w:rPr>
                <w:sz w:val="16"/>
                <w:szCs w:val="16"/>
              </w:rPr>
            </w:r>
          </w:p>
        </w:tc>
        <w:tc>
          <w:tcPr>
            <w:tcW w:w="2825" w:type="dxa"/>
            <w:tcBorders>
              <w:start w:val="single" w:sz="4" w:space="0" w:color="000001"/>
              <w:bottom w:val="single" w:sz="4" w:space="0" w:color="000001"/>
            </w:tcBorders>
            <w:tcMar>
              <w:top w:w="0" w:type="dxa"/>
              <w:bottom w:w="0" w:type="dxa"/>
            </w:tcMar>
          </w:tcPr>
          <w:p>
            <w:pPr>
              <w:pStyle w:val="Normal"/>
              <w:widowControl w:val="false"/>
              <w:spacing w:before="200" w:after="60"/>
              <w:rPr>
                <w:sz w:val="16"/>
                <w:szCs w:val="16"/>
              </w:rPr>
            </w:pPr>
            <w:r>
              <w:rPr>
                <w:sz w:val="16"/>
                <w:szCs w:val="16"/>
              </w:rPr>
            </w:r>
          </w:p>
        </w:tc>
        <w:tc>
          <w:tcPr>
            <w:tcW w:w="3013" w:type="dxa"/>
            <w:tcBorders>
              <w:start w:val="single" w:sz="4" w:space="0" w:color="000001"/>
              <w:bottom w:val="single" w:sz="4" w:space="0" w:color="000001"/>
            </w:tcBorders>
            <w:tcMar>
              <w:top w:w="0" w:type="dxa"/>
              <w:bottom w:w="0" w:type="dxa"/>
            </w:tcMar>
          </w:tcPr>
          <w:p>
            <w:pPr>
              <w:pStyle w:val="Normal"/>
              <w:widowControl w:val="false"/>
              <w:spacing w:before="200" w:after="60"/>
              <w:rPr>
                <w:sz w:val="16"/>
                <w:szCs w:val="16"/>
              </w:rPr>
            </w:pPr>
            <w:r>
              <w:rPr>
                <w:sz w:val="16"/>
                <w:szCs w:val="16"/>
              </w:rPr>
            </w:r>
          </w:p>
          <w:p>
            <w:pPr>
              <w:pStyle w:val="Normal"/>
              <w:widowControl w:val="false"/>
              <w:spacing w:before="200" w:after="60"/>
              <w:rPr>
                <w:sz w:val="16"/>
                <w:szCs w:val="16"/>
              </w:rPr>
            </w:pPr>
            <w:r>
              <w:rPr>
                <w:sz w:val="16"/>
                <w:szCs w:val="16"/>
              </w:rPr>
            </w:r>
          </w:p>
          <w:p>
            <w:pPr>
              <w:pStyle w:val="Normal"/>
              <w:widowControl w:val="false"/>
              <w:spacing w:before="200" w:after="60"/>
              <w:rPr>
                <w:sz w:val="16"/>
                <w:szCs w:val="16"/>
              </w:rPr>
            </w:pPr>
            <w:r>
              <w:rPr>
                <w:sz w:val="16"/>
                <w:szCs w:val="16"/>
              </w:rPr>
              <w:t>[write in title above]</w:t>
            </w:r>
          </w:p>
        </w:tc>
        <w:tc>
          <w:tcPr>
            <w:tcW w:w="2087" w:type="dxa"/>
            <w:tcBorders>
              <w:start w:val="single" w:sz="4" w:space="0" w:color="000001"/>
              <w:bottom w:val="single" w:sz="4" w:space="0" w:color="000001"/>
              <w:end w:val="single" w:sz="4" w:space="0" w:color="000001"/>
            </w:tcBorders>
            <w:tcMar>
              <w:top w:w="0" w:type="dxa"/>
              <w:bottom w:w="0" w:type="dxa"/>
            </w:tcMar>
          </w:tcPr>
          <w:p>
            <w:pPr>
              <w:pStyle w:val="Normal"/>
              <w:widowControl w:val="false"/>
              <w:spacing w:before="200" w:after="60"/>
              <w:rPr>
                <w:sz w:val="16"/>
                <w:szCs w:val="16"/>
              </w:rPr>
            </w:pPr>
            <w:r>
              <w:rPr>
                <w:sz w:val="16"/>
                <w:szCs w:val="16"/>
              </w:rPr>
            </w:r>
          </w:p>
        </w:tc>
      </w:tr>
    </w:tbl>
    <w:p>
      <w:pPr>
        <w:pStyle w:val="Normal"/>
        <w:keepNext w:val="true"/>
        <w:jc w:val="center"/>
        <w:rPr>
          <w:b/>
          <w:sz w:val="24"/>
        </w:rPr>
      </w:pPr>
      <w:r>
        <w:rPr>
          <w:b/>
          <w:sz w:val="24"/>
        </w:rPr>
      </w:r>
    </w:p>
    <w:p>
      <w:pPr>
        <w:pStyle w:val="Normal"/>
        <w:jc w:val="center"/>
        <w:rPr>
          <w:b/>
          <w:sz w:val="24"/>
        </w:rPr>
      </w:pPr>
      <w:r>
        <w:rPr>
          <w:b/>
          <w:sz w:val="24"/>
        </w:rPr>
      </w:r>
      <w:r>
        <w:br w:type="page"/>
      </w:r>
    </w:p>
    <w:p>
      <w:pPr>
        <w:pStyle w:val="Normal"/>
        <w:jc w:val="center"/>
        <w:rPr>
          <w:b/>
          <w:sz w:val="24"/>
        </w:rPr>
      </w:pPr>
      <w:r>
        <w:rPr>
          <w:b/>
          <w:sz w:val="24"/>
        </w:rPr>
      </w:r>
    </w:p>
    <w:p>
      <w:pPr>
        <w:pStyle w:val="Normal"/>
        <w:jc w:val="center"/>
        <w:rPr>
          <w:b/>
          <w:sz w:val="24"/>
        </w:rPr>
      </w:pPr>
      <w:r>
        <w:rPr>
          <w:b/>
          <w:sz w:val="24"/>
        </w:rPr>
        <w:t>Terms and Conditions</w:t>
      </w:r>
    </w:p>
    <w:p>
      <w:pPr>
        <w:pStyle w:val="Normal"/>
        <w:jc w:val="center"/>
        <w:rPr>
          <w:b/>
          <w:sz w:val="24"/>
        </w:rPr>
      </w:pPr>
      <w:r>
        <w:rPr>
          <w:b/>
          <w:sz w:val="24"/>
        </w:rPr>
      </w:r>
    </w:p>
    <w:p>
      <w:pPr>
        <w:sectPr>
          <w:headerReference w:type="default" r:id="rId4"/>
          <w:footerReference w:type="default" r:id="rId5"/>
          <w:type w:val="nextPage"/>
          <w:pgSz w:w="11906" w:h="16838"/>
          <w:pgMar w:left="851" w:right="851" w:gutter="0" w:header="720" w:top="1134" w:footer="720" w:bottom="1134"/>
          <w:pgNumType w:fmt="decimal"/>
          <w:formProt w:val="false"/>
          <w:titlePg/>
          <w:textDirection w:val="lrTb"/>
          <w:docGrid w:type="default" w:linePitch="240" w:charSpace="1638"/>
        </w:sectPr>
      </w:pPr>
    </w:p>
    <w:p>
      <w:pPr>
        <w:pStyle w:val="Heading2"/>
        <w:numPr>
          <w:ilvl w:val="1"/>
          <w:numId w:val="3"/>
        </w:numPr>
        <w:rPr>
          <w:szCs w:val="20"/>
        </w:rPr>
      </w:pPr>
      <w:r>
        <w:rPr>
          <w:szCs w:val="20"/>
        </w:rPr>
        <w:t>1</w:t>
        <w:tab/>
        <w:t>Confidentiality</w:t>
      </w:r>
    </w:p>
    <w:p>
      <w:pPr>
        <w:pStyle w:val="Normal"/>
        <w:spacing w:before="60" w:after="60"/>
        <w:ind w:hanging="0" w:start="284" w:end="0"/>
        <w:rPr/>
      </w:pPr>
      <w:r>
        <w:rPr/>
        <w:t>Each party shall maintain as confidential at all times and shall not at any time, directly or indirectly:</w:t>
      </w:r>
    </w:p>
    <w:p>
      <w:pPr>
        <w:pStyle w:val="Normal"/>
        <w:numPr>
          <w:ilvl w:val="0"/>
          <w:numId w:val="8"/>
        </w:numPr>
        <w:spacing w:before="60" w:after="60"/>
        <w:rPr/>
      </w:pPr>
      <w:r>
        <w:rPr/>
        <w:t>Disclose or permit to be disclosed to any person; or</w:t>
      </w:r>
    </w:p>
    <w:p>
      <w:pPr>
        <w:pStyle w:val="Normal"/>
        <w:numPr>
          <w:ilvl w:val="0"/>
          <w:numId w:val="5"/>
        </w:numPr>
        <w:spacing w:before="60" w:after="60"/>
        <w:rPr/>
      </w:pPr>
      <w:r>
        <w:rPr/>
        <w:t>Use for itself; or</w:t>
      </w:r>
    </w:p>
    <w:p>
      <w:pPr>
        <w:pStyle w:val="Normal"/>
        <w:numPr>
          <w:ilvl w:val="0"/>
          <w:numId w:val="5"/>
        </w:numPr>
        <w:spacing w:before="60" w:after="60"/>
        <w:rPr/>
      </w:pPr>
      <w:r>
        <w:rPr/>
        <w:t>Use to the detriment of the party that discloses</w:t>
      </w:r>
      <w:r>
        <w:rPr>
          <w:i/>
        </w:rPr>
        <w:t xml:space="preserve"> Confidential Information </w:t>
      </w:r>
      <w:r>
        <w:rPr/>
        <w:t>to the other,</w:t>
      </w:r>
    </w:p>
    <w:p>
      <w:pPr>
        <w:pStyle w:val="Normal"/>
        <w:spacing w:before="60" w:after="60"/>
        <w:ind w:hanging="0" w:start="284" w:end="0"/>
        <w:rPr/>
      </w:pPr>
      <w:r>
        <w:rPr/>
        <w:t xml:space="preserve">any </w:t>
      </w:r>
      <w:r>
        <w:rPr>
          <w:i/>
        </w:rPr>
        <w:t>Confidential Information</w:t>
      </w:r>
      <w:r>
        <w:rPr/>
        <w:t xml:space="preserve"> (including correspondence, documents and representations relating to trading performance, site development and future plans) except:</w:t>
      </w:r>
    </w:p>
    <w:p>
      <w:pPr>
        <w:pStyle w:val="Normal"/>
        <w:numPr>
          <w:ilvl w:val="0"/>
          <w:numId w:val="9"/>
        </w:numPr>
        <w:spacing w:before="60" w:after="60"/>
        <w:rPr/>
      </w:pPr>
      <w:r>
        <w:rPr/>
        <w:t>As required by law;</w:t>
      </w:r>
    </w:p>
    <w:p>
      <w:pPr>
        <w:pStyle w:val="Normal"/>
        <w:numPr>
          <w:ilvl w:val="0"/>
          <w:numId w:val="4"/>
        </w:numPr>
        <w:spacing w:before="60" w:after="60"/>
        <w:rPr/>
      </w:pPr>
      <w:r>
        <w:rPr/>
        <w:t xml:space="preserve">As is already or becomes public knowledge otherwise than as a result of a breach by the </w:t>
      </w:r>
      <w:r>
        <w:rPr>
          <w:i/>
        </w:rPr>
        <w:t>Recipient</w:t>
      </w:r>
      <w:r>
        <w:rPr/>
        <w:t xml:space="preserve"> of this agreement; or</w:t>
      </w:r>
    </w:p>
    <w:p>
      <w:pPr>
        <w:pStyle w:val="Normal"/>
        <w:numPr>
          <w:ilvl w:val="0"/>
          <w:numId w:val="4"/>
        </w:numPr>
        <w:spacing w:before="60" w:after="60"/>
        <w:rPr/>
      </w:pPr>
      <w:r>
        <w:rPr/>
        <w:t>As authorised in writing by the party that discloses</w:t>
      </w:r>
      <w:r>
        <w:rPr>
          <w:i/>
        </w:rPr>
        <w:t xml:space="preserve"> Confidential Information </w:t>
      </w:r>
      <w:r>
        <w:rPr/>
        <w:t>to the other.</w:t>
      </w:r>
    </w:p>
    <w:p>
      <w:pPr>
        <w:pStyle w:val="Heading2"/>
        <w:numPr>
          <w:ilvl w:val="1"/>
          <w:numId w:val="3"/>
        </w:numPr>
        <w:rPr>
          <w:szCs w:val="20"/>
        </w:rPr>
      </w:pPr>
      <w:r>
        <w:rPr>
          <w:szCs w:val="20"/>
        </w:rPr>
        <w:t>2</w:t>
        <w:tab/>
        <w:t>Good faith and non-circumvention</w:t>
      </w:r>
    </w:p>
    <w:p>
      <w:pPr>
        <w:pStyle w:val="Normal"/>
        <w:spacing w:before="60" w:after="60"/>
        <w:ind w:hanging="0" w:start="284" w:end="0"/>
        <w:rPr/>
      </w:pPr>
      <w:r>
        <w:rPr/>
        <w:t xml:space="preserve">The </w:t>
      </w:r>
      <w:r>
        <w:rPr>
          <w:i/>
        </w:rPr>
        <w:t>Parties</w:t>
      </w:r>
      <w:r>
        <w:rPr/>
        <w:t xml:space="preserve"> agree and acknowledge that the performance of this agreement and the provision of all </w:t>
      </w:r>
      <w:r>
        <w:rPr>
          <w:i/>
        </w:rPr>
        <w:t>Confidential Information</w:t>
      </w:r>
      <w:r>
        <w:rPr/>
        <w:t xml:space="preserve"> to each other shall be in accordance with the principle of good faith.</w:t>
      </w:r>
    </w:p>
    <w:p>
      <w:pPr>
        <w:pStyle w:val="Normal"/>
        <w:spacing w:before="60" w:after="60"/>
        <w:ind w:hanging="0" w:start="284" w:end="0"/>
        <w:rPr/>
      </w:pPr>
      <w:r>
        <w:rPr/>
        <w:t>Neither party will</w:t>
      </w:r>
      <w:r>
        <w:rPr>
          <w:i/>
        </w:rPr>
        <w:t>,</w:t>
      </w:r>
      <w:r>
        <w:rPr/>
        <w:t xml:space="preserve"> directly or indirectly, do anything which will or might lead to the defeating the provisions or intent of this agreement.</w:t>
      </w:r>
    </w:p>
    <w:p>
      <w:pPr>
        <w:pStyle w:val="Heading2"/>
        <w:numPr>
          <w:ilvl w:val="1"/>
          <w:numId w:val="3"/>
        </w:numPr>
        <w:rPr/>
      </w:pPr>
      <w:r>
        <w:rPr/>
        <w:t>3</w:t>
        <w:tab/>
        <w:t>Intellectual property rights</w:t>
      </w:r>
    </w:p>
    <w:p>
      <w:pPr>
        <w:pStyle w:val="Normal"/>
        <w:spacing w:before="60" w:after="60"/>
        <w:ind w:hanging="0" w:start="284" w:end="0"/>
        <w:rPr/>
      </w:pPr>
      <w:r>
        <w:rPr/>
        <w:t>All intellectual and industrial rights (IP Rights) derived in any artistic work created solely for the Event, whether arising prior to or in the course of this agreement, shall be jointly owned by the parties which each having unlimited several rights of use worldwide, in perpetuity and with the rights to create derivative works.</w:t>
      </w:r>
    </w:p>
    <w:p>
      <w:pPr>
        <w:pStyle w:val="Heading2"/>
        <w:numPr>
          <w:ilvl w:val="1"/>
          <w:numId w:val="3"/>
        </w:numPr>
        <w:rPr/>
      </w:pPr>
      <w:r>
        <w:rPr/>
        <w:t>4</w:t>
        <w:tab/>
        <w:t>Return of materials</w:t>
      </w:r>
    </w:p>
    <w:p>
      <w:pPr>
        <w:pStyle w:val="Normal"/>
        <w:spacing w:before="60" w:after="60"/>
        <w:ind w:hanging="0" w:start="284" w:end="0"/>
        <w:rPr/>
      </w:pPr>
      <w:r>
        <w:rPr/>
        <w:t>Any IP Rights materials that are designated by the parties during this agreement  for limited or restricted use, which designation is to be made and agreed prior to use and are to be returned on expiration of this Agreement.</w:t>
      </w:r>
    </w:p>
    <w:p>
      <w:pPr>
        <w:pStyle w:val="Heading2"/>
        <w:numPr>
          <w:ilvl w:val="1"/>
          <w:numId w:val="3"/>
        </w:numPr>
        <w:rPr/>
      </w:pPr>
      <w:r>
        <w:rPr/>
        <w:t>5</w:t>
        <w:tab/>
        <w:t>Dispute Issues Must Be Discussed</w:t>
      </w:r>
    </w:p>
    <w:p>
      <w:pPr>
        <w:pStyle w:val="Normal"/>
        <w:spacing w:before="60" w:after="60"/>
        <w:ind w:hanging="0" w:start="284" w:end="0"/>
        <w:rPr/>
      </w:pPr>
      <w:r>
        <w:rPr/>
        <w:t>Any issues in dispute arising where the parties cannot themselves resolve by first meeting and discussing in good faith, may then, after mediation, be subject to the normal rights at law including seeking injunctive relief.</w:t>
      </w:r>
    </w:p>
    <w:p>
      <w:pPr>
        <w:pStyle w:val="Heading2"/>
        <w:numPr>
          <w:ilvl w:val="1"/>
          <w:numId w:val="3"/>
        </w:numPr>
        <w:rPr/>
      </w:pPr>
      <w:r>
        <w:rPr/>
        <w:t>6</w:t>
        <w:tab/>
        <w:t>Survival of agreement</w:t>
      </w:r>
    </w:p>
    <w:p>
      <w:pPr>
        <w:pStyle w:val="Normal"/>
        <w:spacing w:before="60" w:after="60"/>
        <w:ind w:hanging="0" w:start="284" w:end="0"/>
        <w:rPr/>
      </w:pPr>
      <w:r>
        <w:rPr/>
        <w:t xml:space="preserve">Any IP </w:t>
      </w:r>
      <w:r>
        <w:rPr>
          <w:i/>
        </w:rPr>
        <w:t>Release rights</w:t>
      </w:r>
      <w:r>
        <w:rPr/>
        <w:t xml:space="preserve"> shall survive the termination of this agreement.</w:t>
      </w:r>
    </w:p>
    <w:p>
      <w:pPr>
        <w:pStyle w:val="Normal"/>
        <w:spacing w:before="60" w:after="60"/>
        <w:ind w:hanging="0" w:start="284" w:end="0"/>
        <w:rPr/>
      </w:pPr>
      <w:r>
        <w:rPr/>
      </w:r>
    </w:p>
    <w:p>
      <w:pPr>
        <w:pStyle w:val="Heading2"/>
        <w:numPr>
          <w:ilvl w:val="1"/>
          <w:numId w:val="3"/>
        </w:numPr>
        <w:rPr/>
      </w:pPr>
      <w:r>
        <w:rPr/>
      </w:r>
    </w:p>
    <w:p>
      <w:pPr>
        <w:pStyle w:val="Heading2"/>
        <w:numPr>
          <w:ilvl w:val="1"/>
          <w:numId w:val="3"/>
        </w:numPr>
        <w:rPr/>
      </w:pPr>
      <w:r>
        <w:rPr/>
        <w:t>7</w:t>
        <w:tab/>
        <w:t>Governing Law and Jurisdiction</w:t>
      </w:r>
    </w:p>
    <w:p>
      <w:pPr>
        <w:pStyle w:val="Normal"/>
        <w:keepNext w:val="true"/>
        <w:tabs>
          <w:tab w:val="clear" w:pos="720"/>
          <w:tab w:val="left" w:pos="568" w:leader="none"/>
        </w:tabs>
        <w:spacing w:before="60" w:after="60"/>
        <w:ind w:hanging="0" w:start="284" w:end="0"/>
        <w:rPr/>
      </w:pPr>
      <w:r>
        <w:rPr/>
        <w:t>This agreement is governed by the law of New Zealand and is subject to the exclusive jurisdiction of the Courts of New Zealand.</w:t>
      </w:r>
    </w:p>
    <w:p>
      <w:pPr>
        <w:sectPr>
          <w:type w:val="continuous"/>
          <w:pgSz w:w="11906" w:h="16838"/>
          <w:pgMar w:left="851" w:right="851" w:gutter="0" w:header="720" w:top="1134" w:footer="720" w:bottom="1134"/>
          <w:cols w:num="2" w:space="396" w:equalWidth="true" w:sep="false"/>
          <w:formProt w:val="false"/>
          <w:textDirection w:val="lrTb"/>
          <w:docGrid w:type="default" w:linePitch="240" w:charSpace="1638"/>
        </w:sectPr>
      </w:pPr>
    </w:p>
    <w:p>
      <w:pPr>
        <w:pStyle w:val="Normal"/>
        <w:rPr/>
      </w:pPr>
      <w:r>
        <w:rPr/>
      </w:r>
      <w:r>
        <w:br w:type="page"/>
      </w:r>
    </w:p>
    <w:p>
      <w:pPr>
        <w:pStyle w:val="Normal"/>
        <w:rPr/>
      </w:pPr>
      <w:r>
        <w:rPr/>
      </w:r>
    </w:p>
    <w:tbl>
      <w:tblPr>
        <w:tblW w:w="10097" w:type="dxa"/>
        <w:jc w:val="start"/>
        <w:tblInd w:w="93" w:type="dxa"/>
        <w:tblLayout w:type="fixed"/>
        <w:tblCellMar>
          <w:top w:w="55" w:type="dxa"/>
          <w:start w:w="55" w:type="dxa"/>
          <w:bottom w:w="55" w:type="dxa"/>
          <w:end w:w="55" w:type="dxa"/>
        </w:tblCellMar>
      </w:tblPr>
      <w:tblGrid>
        <w:gridCol w:w="6015"/>
        <w:gridCol w:w="4082"/>
      </w:tblGrid>
      <w:tr>
        <w:trPr>
          <w:tblHeader w:val="true"/>
          <w:trHeight w:val="315" w:hRule="atLeast"/>
        </w:trPr>
        <w:tc>
          <w:tcPr>
            <w:tcW w:w="10097" w:type="dxa"/>
            <w:gridSpan w:val="2"/>
            <w:tcBorders>
              <w:top w:val="single" w:sz="4" w:space="0" w:color="000000"/>
              <w:start w:val="single" w:sz="4" w:space="0" w:color="000000"/>
              <w:bottom w:val="single" w:sz="4" w:space="0" w:color="000000"/>
              <w:end w:val="single" w:sz="4" w:space="0" w:color="000000"/>
            </w:tcBorders>
            <w:shd w:fill="2A6099" w:val="clear"/>
            <w:vAlign w:val="bottom"/>
          </w:tcPr>
          <w:p>
            <w:pPr>
              <w:pStyle w:val="Normal"/>
              <w:pBdr>
                <w:top w:val="single" w:sz="4" w:space="1" w:color="000000"/>
                <w:left w:val="single" w:sz="4" w:space="4" w:color="000000"/>
                <w:bottom w:val="single" w:sz="4" w:space="1" w:color="000000"/>
                <w:right w:val="single" w:sz="4" w:space="4" w:color="000000"/>
              </w:pBdr>
              <w:shd w:fill="D9D9D9" w:val="clear"/>
              <w:jc w:val="center"/>
              <w:rPr>
                <w:b/>
                <w:color w:val="2A6099"/>
                <w:sz w:val="24"/>
                <w:szCs w:val="24"/>
              </w:rPr>
            </w:pPr>
            <w:r>
              <w:rPr>
                <w:b/>
                <w:color w:val="2A6099"/>
                <w:sz w:val="24"/>
                <w:szCs w:val="24"/>
              </w:rPr>
              <w:t>Appendix 1</w:t>
            </w:r>
          </w:p>
          <w:p>
            <w:pPr>
              <w:pStyle w:val="Normal"/>
              <w:widowControl w:val="false"/>
              <w:pBdr>
                <w:top w:val="single" w:sz="4" w:space="1" w:color="000000"/>
                <w:left w:val="single" w:sz="4" w:space="4" w:color="000000"/>
                <w:bottom w:val="single" w:sz="4" w:space="1" w:color="000000"/>
                <w:right w:val="single" w:sz="4" w:space="4" w:color="000000"/>
              </w:pBdr>
              <w:shd w:fill="D9D9D9" w:val="clear"/>
              <w:tabs>
                <w:tab w:val="clear" w:pos="720"/>
              </w:tabs>
              <w:jc w:val="center"/>
              <w:rPr>
                <w:rFonts w:ascii="Verdana" w:hAnsi="Verdana"/>
                <w:b/>
                <w:color w:val="2A6099"/>
                <w:sz w:val="24"/>
                <w:szCs w:val="24"/>
              </w:rPr>
            </w:pPr>
            <w:r>
              <w:rPr>
                <w:rFonts w:ascii="Verdana" w:hAnsi="Verdana"/>
                <w:b/>
                <w:color w:val="2A6099"/>
                <w:sz w:val="24"/>
                <w:szCs w:val="24"/>
              </w:rPr>
              <w:t>Type of Events</w:t>
            </w:r>
          </w:p>
          <w:p>
            <w:pPr>
              <w:pStyle w:val="Normal"/>
              <w:widowControl w:val="false"/>
              <w:pBdr>
                <w:top w:val="single" w:sz="4" w:space="1" w:color="000000"/>
                <w:left w:val="single" w:sz="4" w:space="4" w:color="000000"/>
                <w:bottom w:val="single" w:sz="4" w:space="1" w:color="000000"/>
                <w:right w:val="single" w:sz="4" w:space="4" w:color="000000"/>
              </w:pBdr>
              <w:shd w:fill="D9D9D9" w:val="clear"/>
              <w:tabs>
                <w:tab w:val="clear" w:pos="720"/>
              </w:tabs>
              <w:jc w:val="center"/>
              <w:rPr>
                <w:rFonts w:ascii="Verdana" w:hAnsi="Verdana"/>
                <w:b/>
                <w:color w:val="2A6099"/>
                <w:sz w:val="24"/>
                <w:szCs w:val="24"/>
              </w:rPr>
            </w:pPr>
            <w:r>
              <w:rPr>
                <w:rFonts w:ascii="Verdana" w:hAnsi="Verdana"/>
                <w:b/>
                <w:color w:val="2A6099"/>
                <w:sz w:val="20"/>
                <w:szCs w:val="20"/>
              </w:rPr>
              <w:t>Write in or tick those types of events that may apply.</w:t>
            </w:r>
            <w:r>
              <w:rPr>
                <w:rFonts w:ascii="Verdana" w:hAnsi="Verdana"/>
                <w:b/>
                <w:color w:val="2A6099"/>
                <w:sz w:val="24"/>
                <w:szCs w:val="24"/>
              </w:rPr>
              <w:t xml:space="preserve"> </w:t>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Agricultural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Air Show (Ground based)</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Air Show (With aerial displays)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Amateur Dramatics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American Football (Amateur)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American Football (Professional/Collegiate)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Anniversary Party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shd w:fill="FFFFFF" w:val="clear"/>
            <w:vAlign w:val="bottom"/>
          </w:tcPr>
          <w:p>
            <w:pPr>
              <w:pStyle w:val="Normal"/>
              <w:widowControl w:val="false"/>
              <w:tabs>
                <w:tab w:val="clear" w:pos="720"/>
              </w:tabs>
              <w:jc w:val="start"/>
              <w:rPr/>
            </w:pPr>
            <w:r>
              <w:rPr/>
              <w:t>Antiques Fair</w:t>
            </w:r>
          </w:p>
        </w:tc>
        <w:tc>
          <w:tcPr>
            <w:tcW w:w="4082" w:type="dxa"/>
            <w:tcBorders>
              <w:start w:val="single" w:sz="4" w:space="0" w:color="000000"/>
              <w:bottom w:val="single" w:sz="4" w:space="0" w:color="000000"/>
              <w:end w:val="single" w:sz="4" w:space="0" w:color="000000"/>
            </w:tcBorders>
            <w:shd w:fill="FFFFFF" w:val="clear"/>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Arts &amp; Crafts Fair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Arts Festival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Athletics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Auction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Awards Presentation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BBQ</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Badminton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Bag Packing for Charity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Ball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Band performing at an event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Banquet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Bar Mitzvah</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Barbeque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Baseball (Amateur)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Baseball (Professional)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Basketball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Bat Mitzvah</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Bazaar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Beach Party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Beach Volleyball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Beer Festival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Bike Ride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Bike or Scooter Fair (Static)</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Billiards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Bingo</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Birthday Party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Board Games Event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Boat Party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Boat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Boating (Inland Waters)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Bonfire (no fireworks)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Book Fair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Book Festival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Book Signing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Boot Fair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Bowling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Boxing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Brass Band Event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Bridge Competition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Cabaret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Camping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Car Boot Sale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Car Club Rally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Car Festival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Car Show (Static)</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Car Wash</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Carnival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Carnival Float participating in a carnival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Carol Singing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Casino Night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Ceilidh</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Charity Collection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Charity Fun Day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Charity Gala Evening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Charity Open Day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Christmas Fair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Christmas Light Switch 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Christmas Light/Tree Display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Christmas Market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Civil Ceremony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Classical Concert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Clay Pigeon Shooting Competition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Colour Festival (including paint throwing)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Colour Run (including paint throwing)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Comedy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Community Fun Day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Computer Gaming Event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Concert (with local/amateur acts)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Conference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Conference &amp; Exhibition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Conference &amp; Exhibition (Open to the Public)</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Conference (Open to the Public)</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Consumer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Consumer Show (Open to the Public)</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Convention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Convention (Open to the Public)</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Cooking Demonstration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Corporate Hospitality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Country Fair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County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Craft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Cricket (Amateur)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Cricket (Professional)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Cross Country Run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Cultural Festival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Cycling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DJ performing at an event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Dance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Dance Group performing at an event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Dance Party/Rave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Dance Workshop</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Dance/Electronic Music Festival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Darts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Debate (Non-party Political)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Dinner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Disco</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Dodgeball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Domestic Animal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Driving Experience Day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Duathlon (off road/on closed roads/in pool)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Duathlon (on open roads/open water)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Eistedford</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Exhibition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Exhibition (Open to the Public)</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Exhibitor (Not Professional Caterers)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Falconry Display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Family Festival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Family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Fanzone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Fashion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Fete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Field Hockey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Film Festival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Film Screening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Fireworks Event (released by 3rd party professional fireworks company)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Fireworks Event (released by the insured)</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Fishing Competition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Flea Market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Flower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Food &amp; Drink Festival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Football (Amateur)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Football (Professional)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Freshers Fair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Fun Day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Fun Fair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Fun Run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Fun Walk</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Game Fair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Garage Sale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Garden Open Day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Garden Party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Ghost Hunt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Golf (Amateur)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Golf (Professional)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Haunted House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Health &amp; Wellbeing Festival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Highland Games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Historic Walk</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Historical Re-enactment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Horse Racing (Non Professional Racecourse)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Horse Racing (Professional Racecourse)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Horse Show (Not Trials or Point to Point)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Horse Trials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Horticultural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House and Garden Tour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Ice Hockey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Ice Skating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Incentive Travel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Jamboree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Jumble Sale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Karaoke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Lacrosse (Amateur)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Lacrosse (Professional)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Lantern Procession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Launch Party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Leaflet Distribution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Lecture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Lecture (Open to the Public)</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Literary Festival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Literary or Poetry Event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Live Music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Lunch</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Magic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Marathon (Mixed Terrain)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Marathon (Off Road)</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Marathon (On Road)</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Marching Band</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Market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Medieval Fair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Meeting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Meeting (Open to the Public)</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Mixed Martial Arts Event (Amateur)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Mixed Martial Arts Event (Professional)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Monster Truck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Motor Racing (Circuit)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Motor Racing (Offroad/Rally)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Motorcycle Display (Static)</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Mountain Biking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Mud Run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Murder Mystery Event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Music Festival (with local/amateur acts)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Musical Recital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Netball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Networking Event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Obstacle Race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Oktoberfest Event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Open Air Cinema</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Orienteering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Other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Outdoor Cinema</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Pantomime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Party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Pet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Photo Shoot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Ploughing Match</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Poker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Polo</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Pool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Pop Up Sports Bar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Pride Festival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Processions / Parades (non Political or Religious)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Product Launch</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Quiz</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Re-enactment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Regatta</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Religious Festival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Rock &amp; Pop Concert (with professional acts)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Rock &amp; Pop Music Festival (with professional acts)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Rockaoke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Rodeo</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Roller Derby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Rugby (Amateur)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Rugby (Professional)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Rugby 7s Event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Running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Sailing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Santas Grotto</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School Reunion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Scout Gang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Seminar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Seminar (Open to the Public)</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Show Jumping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Silent Disco</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Singer performing at an event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Singing Competition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Skiing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Snooker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Soccer (Amateur)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Soccer (Professional)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Sound &amp; Light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Speed Dating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Sports Day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Sports Festival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Squash</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St Patricks Day Celebration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Stallholder (Not Professional Caterers)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Steam Rally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Street Festival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Street Market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Street Party</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Summer Camp</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Swimming (Open water)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Swimming (Pool)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Symposium</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Table Tennis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Tea/Coffee Morning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Team Building (indoors/non active)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Team Building (outdoors/active)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Tennis (Amateur)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Tennis (Professional)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Theatre Production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Torch Light Procession</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Torch Light Procession (non Political/Religious)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Toy Fair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Trade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Trade Show (Open to the Public)</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Tradestand (Not Professional Caterers)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Treasure Hunt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Triathlon (Open Water)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Triathlon (off road/on closed roads/in pool )</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Triathlon (on open roads/open water)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Tug Of War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Urban Festival (Hip Hop/Rap/Grime/Drill/Garage)</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Variety Show</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Video Gaming Event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Volleyball</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Walking/Trekking Event</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Waterpolo</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Watersports</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Wedding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Wedding Fair</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Wedding Fair (Open to the Public)</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r>
        <w:trPr>
          <w:trHeight w:val="315" w:hRule="atLeast"/>
        </w:trPr>
        <w:tc>
          <w:tcPr>
            <w:tcW w:w="6015" w:type="dxa"/>
            <w:tcBorders>
              <w:start w:val="single" w:sz="4" w:space="0" w:color="000000"/>
              <w:bottom w:val="single" w:sz="4" w:space="0" w:color="000000"/>
            </w:tcBorders>
            <w:vAlign w:val="bottom"/>
          </w:tcPr>
          <w:p>
            <w:pPr>
              <w:pStyle w:val="Normal"/>
              <w:widowControl w:val="false"/>
              <w:tabs>
                <w:tab w:val="clear" w:pos="720"/>
              </w:tabs>
              <w:jc w:val="start"/>
              <w:rPr/>
            </w:pPr>
            <w:r>
              <w:rPr/>
              <w:t>Wine Tasting</w:t>
            </w:r>
          </w:p>
        </w:tc>
        <w:tc>
          <w:tcPr>
            <w:tcW w:w="4082" w:type="dxa"/>
            <w:tcBorders>
              <w:start w:val="single" w:sz="4" w:space="0" w:color="000000"/>
              <w:bottom w:val="single" w:sz="4" w:space="0" w:color="000000"/>
              <w:end w:val="single" w:sz="4" w:space="0" w:color="000000"/>
            </w:tcBorders>
            <w:vAlign w:val="bottom"/>
          </w:tcPr>
          <w:p>
            <w:pPr>
              <w:pStyle w:val="Normal"/>
              <w:widowControl w:val="false"/>
              <w:tabs>
                <w:tab w:val="clear" w:pos="720"/>
              </w:tabs>
              <w:jc w:val="start"/>
              <w:rPr/>
            </w:pPr>
            <w:r>
              <w:rPr/>
            </w:r>
          </w:p>
        </w:tc>
      </w:tr>
    </w:tbl>
    <w:p>
      <w:pPr>
        <w:pStyle w:val="Normal"/>
        <w:rPr/>
      </w:pPr>
      <w:r>
        <w:rPr/>
      </w:r>
    </w:p>
    <w:p>
      <w:pPr>
        <w:pStyle w:val="Normal"/>
        <w:rPr/>
      </w:pPr>
      <w:r>
        <w:rPr/>
      </w:r>
    </w:p>
    <w:p>
      <w:pPr>
        <w:pStyle w:val="Normal"/>
        <w:rPr/>
      </w:pPr>
      <w:r>
        <w:rPr/>
      </w:r>
    </w:p>
    <w:sectPr>
      <w:type w:val="continuous"/>
      <w:pgSz w:w="11906" w:h="16838"/>
      <w:pgMar w:left="851" w:right="851" w:gutter="0" w:header="720" w:top="1134" w:footer="720" w:bottom="1134"/>
      <w:formProt w:val="false"/>
      <w:textDirection w:val="lrTb"/>
      <w:docGrid w:type="default" w:linePitch="240" w:charSpace="163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Times New Roman">
    <w:charset w:val="01" w:characterSet="utf-8"/>
    <w:family w:val="swiss"/>
    <w:pitch w:val="default"/>
  </w:font>
  <w:font w:name="Arial">
    <w:charset w:val="01" w:characterSet="utf-8"/>
    <w:family w:val="swiss"/>
    <w:pitch w:val="default"/>
  </w:font>
  <w:font w:name="Monotype Sorts">
    <w:charset w:val="01" w:characterSet="utf-8"/>
    <w:family w:val="swiss"/>
    <w:pitch w:val="default"/>
  </w:font>
  <w:font w:name="Courier New">
    <w:charset w:val="01" w:characterSet="utf-8"/>
    <w:family w:val="swiss"/>
    <w:pitch w:val="default"/>
  </w:font>
  <w:font w:name="Wingdings">
    <w:charset w:val="01" w:characterSet="utf-8"/>
    <w:family w:val="swiss"/>
    <w:pitch w:val="default"/>
  </w:font>
  <w:font w:name="Symbol">
    <w:charset w:val="01" w:characterSet="utf-8"/>
    <w:family w:val="swiss"/>
    <w:pitch w:val="default"/>
  </w:font>
  <w:font w:name="OpenSymbol">
    <w:altName w:val="Arial Unicode MS"/>
    <w:charset w:val="01" w:characterSet="utf-8"/>
    <w:family w:val="swiss"/>
    <w:pitch w:val="default"/>
  </w:font>
  <w:font w:name="Verdana">
    <w:charset w:val="01" w:characterSet="utf-8"/>
    <w:family w:val="swiss"/>
    <w:pitch w:val="default"/>
  </w:font>
  <w:font w:name="DejaVu Sans">
    <w:charset w:val="01" w:characterSet="utf-8"/>
    <w:family w:val="swiss"/>
    <w:pitch w:val="default"/>
  </w:font>
  <w:font w:name="Book Antiqua">
    <w:charset w:val="01" w:characterSet="utf-8"/>
    <w:family w:val="swiss"/>
    <w:pitch w:val="default"/>
  </w:font>
  <w:font w:name="Tahoma">
    <w:charset w:val="01" w:characterSet="utf-8"/>
    <w:family w:val="swiss"/>
    <w:pitch w:val="default"/>
  </w:font>
  <w:font w:name="Symbol">
    <w:charset w:val="02"/>
    <w:family w:val="auto"/>
    <w:pitch w:val="default"/>
  </w:font>
  <w:font w:name="OpenSymbol">
    <w:altName w:val="Arial Unicode MS"/>
    <w:charset w:val="01"/>
    <w:family w:val="auto"/>
    <w:pitch w:val="variable"/>
  </w:font>
  <w:font w:name="Courier New">
    <w:charset w:val="01"/>
    <w:family w:val="modern"/>
    <w:pitch w:val="fixed"/>
  </w:font>
  <w:font w:name="Wingdings">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enter" w:pos="4153" w:leader="none"/>
        <w:tab w:val="right" w:pos="8306" w:leader="none"/>
        <w:tab w:val="right" w:pos="10206" w:leader="none"/>
      </w:tabs>
      <w:rPr/>
    </w:pPr>
    <w:r>
      <w:rPr/>
      <w:tab/>
    </w:r>
  </w:p>
  <w:p>
    <w:pPr>
      <w:pStyle w:val="Footer"/>
      <w:tabs>
        <w:tab w:val="center" w:pos="4153" w:leader="none"/>
        <w:tab w:val="right" w:pos="8306" w:leader="none"/>
        <w:tab w:val="right" w:pos="10206" w:leader="none"/>
      </w:tabs>
      <w:rPr/>
    </w:pPr>
    <w:r>
      <w:rPr>
        <w:sz w:val="16"/>
      </w:rPr>
      <w:t xml:space="preserve">© ROZevents Limited, </w:t>
    </w:r>
    <w:r>
      <w:rPr>
        <w:sz w:val="16"/>
      </w:rPr>
      <w:t>February</w:t>
    </w:r>
    <w:r>
      <w:rPr>
        <w:sz w:val="16"/>
      </w:rPr>
      <w:t xml:space="preserve">  202</w:t>
    </w:r>
    <w:r>
      <w:rPr>
        <w:sz w:val="16"/>
      </w:rPr>
      <w:t>5</w:t>
    </w:r>
  </w:p>
  <w:p>
    <w:pPr>
      <w:pStyle w:val="Footer"/>
      <w:rPr/>
    </w:pPr>
    <w:r>
      <w:rPr/>
    </w:r>
  </w:p>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b/>
        <w:i/>
        <w:lang w:val="en-US"/>
      </w:rPr>
      <w:t>ROZevents Event</w:t>
    </w:r>
    <w:r>
      <w:rPr>
        <w:rFonts w:ascii="Verdana" w:hAnsi="Verdana"/>
        <w:b/>
        <w:i/>
        <w:lang w:val="en-US"/>
      </w:rPr>
      <w:t xml:space="preserve"> Management</w:t>
    </w:r>
    <w:r>
      <w:rPr>
        <w:b/>
        <w:i/>
        <w:lang w:val="en-US"/>
      </w:rPr>
      <w:t xml:space="preserve"> Agreement – </w:t>
    </w:r>
    <w:r>
      <w:rPr>
        <w:b/>
        <w:i/>
        <w:lang w:val="en-US"/>
      </w:rPr>
      <w:t>v8 Feb 202</w:t>
    </w:r>
    <w:r>
      <w:rPr>
        <w:b/>
        <w:i/>
        <w:lang w:val="en-US"/>
      </w:rPr>
      <w:t>5</w:t>
    </w:r>
    <w:r>
      <w:rPr>
        <w:b/>
        <w:i/>
        <w:lang w:val="en-US"/>
      </w:rPr>
      <w:tab/>
      <w:tab/>
      <w:tab/>
      <w:t xml:space="preserve">Page </w:t>
    </w:r>
    <w:r>
      <w:rPr/>
      <w:fldChar w:fldCharType="begin"/>
    </w:r>
    <w:r>
      <w:rPr/>
      <w:instrText xml:space="preserve"> PAGE </w:instrText>
    </w:r>
    <w:r>
      <w:rPr/>
      <w:fldChar w:fldCharType="separate"/>
    </w:r>
    <w:r>
      <w:rPr/>
      <w:t>7</w:t>
    </w:r>
    <w:r>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abstractNum w:abstractNumId="2">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3">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4">
    <w:lvl w:ilvl="0">
      <w:start w:val="1"/>
      <w:numFmt w:val="lowerRoman"/>
      <w:lvlText w:val="%1"/>
      <w:lvlJc w:val="start"/>
      <w:pPr>
        <w:tabs>
          <w:tab w:val="num" w:pos="0"/>
        </w:tabs>
        <w:ind w:start="709" w:hanging="425"/>
      </w:pPr>
      <w:rPr/>
    </w:lvl>
    <w:lvl w:ilvl="1">
      <w:start w:val="1"/>
      <w:numFmt w:val="decimal"/>
      <w:lvlText w:val="%1.%2"/>
      <w:lvlJc w:val="start"/>
      <w:pPr>
        <w:tabs>
          <w:tab w:val="num" w:pos="0"/>
        </w:tabs>
        <w:ind w:start="1080" w:hanging="360"/>
      </w:pPr>
      <w:rPr/>
    </w:lvl>
    <w:lvl w:ilvl="2">
      <w:start w:val="1"/>
      <w:numFmt w:val="decimal"/>
      <w:lvlText w:val="%1.%2.%3"/>
      <w:lvlJc w:val="start"/>
      <w:pPr>
        <w:tabs>
          <w:tab w:val="num" w:pos="0"/>
        </w:tabs>
        <w:ind w:start="1440" w:hanging="360"/>
      </w:pPr>
      <w:rPr/>
    </w:lvl>
    <w:lvl w:ilvl="3">
      <w:start w:val="1"/>
      <w:numFmt w:val="decimal"/>
      <w:lvlText w:val="%2.%3.%4"/>
      <w:lvlJc w:val="start"/>
      <w:pPr>
        <w:tabs>
          <w:tab w:val="num" w:pos="0"/>
        </w:tabs>
        <w:ind w:start="1800" w:hanging="360"/>
      </w:pPr>
      <w:rPr/>
    </w:lvl>
    <w:lvl w:ilvl="4">
      <w:start w:val="1"/>
      <w:numFmt w:val="decimal"/>
      <w:lvlText w:val="%3.%4.%5"/>
      <w:lvlJc w:val="start"/>
      <w:pPr>
        <w:tabs>
          <w:tab w:val="num" w:pos="0"/>
        </w:tabs>
        <w:ind w:start="2160" w:hanging="360"/>
      </w:pPr>
      <w:rPr/>
    </w:lvl>
    <w:lvl w:ilvl="5">
      <w:start w:val="1"/>
      <w:numFmt w:val="decimal"/>
      <w:lvlText w:val="%4.%5.%6"/>
      <w:lvlJc w:val="start"/>
      <w:pPr>
        <w:tabs>
          <w:tab w:val="num" w:pos="0"/>
        </w:tabs>
        <w:ind w:start="2520" w:hanging="360"/>
      </w:pPr>
      <w:rPr/>
    </w:lvl>
    <w:lvl w:ilvl="6">
      <w:start w:val="1"/>
      <w:numFmt w:val="decimal"/>
      <w:lvlText w:val="%5.%6.%7"/>
      <w:lvlJc w:val="start"/>
      <w:pPr>
        <w:tabs>
          <w:tab w:val="num" w:pos="0"/>
        </w:tabs>
        <w:ind w:start="2880" w:hanging="360"/>
      </w:pPr>
      <w:rPr/>
    </w:lvl>
    <w:lvl w:ilvl="7">
      <w:start w:val="1"/>
      <w:numFmt w:val="decimal"/>
      <w:lvlText w:val="%6.%7.%8"/>
      <w:lvlJc w:val="start"/>
      <w:pPr>
        <w:tabs>
          <w:tab w:val="num" w:pos="0"/>
        </w:tabs>
        <w:ind w:start="3240" w:hanging="360"/>
      </w:pPr>
      <w:rPr/>
    </w:lvl>
    <w:lvl w:ilvl="8">
      <w:start w:val="1"/>
      <w:numFmt w:val="decimal"/>
      <w:lvlText w:val="%7.%8.%9"/>
      <w:lvlJc w:val="start"/>
      <w:pPr>
        <w:tabs>
          <w:tab w:val="num" w:pos="0"/>
        </w:tabs>
        <w:ind w:start="3600" w:hanging="360"/>
      </w:pPr>
      <w:rPr/>
    </w:lvl>
  </w:abstractNum>
  <w:abstractNum w:abstractNumId="5">
    <w:lvl w:ilvl="0">
      <w:start w:val="1"/>
      <w:numFmt w:val="lowerLetter"/>
      <w:lvlText w:val="%1"/>
      <w:lvlJc w:val="start"/>
      <w:pPr>
        <w:tabs>
          <w:tab w:val="num" w:pos="0"/>
        </w:tabs>
        <w:ind w:start="709" w:hanging="425"/>
      </w:pPr>
      <w:rPr/>
    </w:lvl>
    <w:lvl w:ilvl="1">
      <w:start w:val="1"/>
      <w:numFmt w:val="decimal"/>
      <w:lvlText w:val="%1.%2"/>
      <w:lvlJc w:val="start"/>
      <w:pPr>
        <w:tabs>
          <w:tab w:val="num" w:pos="0"/>
        </w:tabs>
        <w:ind w:start="1080" w:hanging="360"/>
      </w:pPr>
      <w:rPr/>
    </w:lvl>
    <w:lvl w:ilvl="2">
      <w:start w:val="1"/>
      <w:numFmt w:val="decimal"/>
      <w:lvlText w:val="%1.%2.%3"/>
      <w:lvlJc w:val="start"/>
      <w:pPr>
        <w:tabs>
          <w:tab w:val="num" w:pos="0"/>
        </w:tabs>
        <w:ind w:start="1440" w:hanging="360"/>
      </w:pPr>
      <w:rPr/>
    </w:lvl>
    <w:lvl w:ilvl="3">
      <w:start w:val="1"/>
      <w:numFmt w:val="decimal"/>
      <w:lvlText w:val="%2.%3.%4"/>
      <w:lvlJc w:val="start"/>
      <w:pPr>
        <w:tabs>
          <w:tab w:val="num" w:pos="0"/>
        </w:tabs>
        <w:ind w:start="1800" w:hanging="360"/>
      </w:pPr>
      <w:rPr/>
    </w:lvl>
    <w:lvl w:ilvl="4">
      <w:start w:val="1"/>
      <w:numFmt w:val="decimal"/>
      <w:lvlText w:val="%3.%4.%5"/>
      <w:lvlJc w:val="start"/>
      <w:pPr>
        <w:tabs>
          <w:tab w:val="num" w:pos="0"/>
        </w:tabs>
        <w:ind w:start="2160" w:hanging="360"/>
      </w:pPr>
      <w:rPr/>
    </w:lvl>
    <w:lvl w:ilvl="5">
      <w:start w:val="1"/>
      <w:numFmt w:val="decimal"/>
      <w:lvlText w:val="%4.%5.%6"/>
      <w:lvlJc w:val="start"/>
      <w:pPr>
        <w:tabs>
          <w:tab w:val="num" w:pos="0"/>
        </w:tabs>
        <w:ind w:start="2520" w:hanging="360"/>
      </w:pPr>
      <w:rPr/>
    </w:lvl>
    <w:lvl w:ilvl="6">
      <w:start w:val="1"/>
      <w:numFmt w:val="decimal"/>
      <w:lvlText w:val="%5.%6.%7"/>
      <w:lvlJc w:val="start"/>
      <w:pPr>
        <w:tabs>
          <w:tab w:val="num" w:pos="0"/>
        </w:tabs>
        <w:ind w:start="2880" w:hanging="360"/>
      </w:pPr>
      <w:rPr/>
    </w:lvl>
    <w:lvl w:ilvl="7">
      <w:start w:val="1"/>
      <w:numFmt w:val="decimal"/>
      <w:lvlText w:val="%6.%7.%8"/>
      <w:lvlJc w:val="start"/>
      <w:pPr>
        <w:tabs>
          <w:tab w:val="num" w:pos="0"/>
        </w:tabs>
        <w:ind w:start="3240" w:hanging="360"/>
      </w:pPr>
      <w:rPr/>
    </w:lvl>
    <w:lvl w:ilvl="8">
      <w:start w:val="1"/>
      <w:numFmt w:val="decimal"/>
      <w:lvlText w:val="%7.%8.%9"/>
      <w:lvlJc w:val="start"/>
      <w:pPr>
        <w:tabs>
          <w:tab w:val="num" w:pos="0"/>
        </w:tabs>
        <w:ind w:start="3600" w:hanging="360"/>
      </w:pPr>
      <w:rPr/>
    </w:lvl>
  </w:abstractNum>
  <w:abstractNum w:abstractNumId="6">
    <w:lvl w:ilvl="0">
      <w:start w:val="1"/>
      <w:numFmt w:val="decimal"/>
      <w:lvlText w:val="%1"/>
      <w:lvlJc w:val="start"/>
      <w:pPr>
        <w:tabs>
          <w:tab w:val="num" w:pos="0"/>
        </w:tabs>
        <w:ind w:start="720" w:hanging="360"/>
      </w:pPr>
      <w:rPr/>
    </w:lvl>
    <w:lvl w:ilvl="1">
      <w:start w:val="1"/>
      <w:numFmt w:val="decimal"/>
      <w:lvlText w:val="%1.%2"/>
      <w:lvlJc w:val="start"/>
      <w:pPr>
        <w:tabs>
          <w:tab w:val="num" w:pos="0"/>
        </w:tabs>
        <w:ind w:start="1080" w:hanging="360"/>
      </w:pPr>
      <w:rPr/>
    </w:lvl>
    <w:lvl w:ilvl="2">
      <w:start w:val="1"/>
      <w:numFmt w:val="decimal"/>
      <w:lvlText w:val="%1.%2.%3"/>
      <w:lvlJc w:val="start"/>
      <w:pPr>
        <w:tabs>
          <w:tab w:val="num" w:pos="0"/>
        </w:tabs>
        <w:ind w:start="1440" w:hanging="360"/>
      </w:pPr>
      <w:rPr/>
    </w:lvl>
    <w:lvl w:ilvl="3">
      <w:start w:val="1"/>
      <w:numFmt w:val="decimal"/>
      <w:lvlText w:val="%2.%3.%4"/>
      <w:lvlJc w:val="start"/>
      <w:pPr>
        <w:tabs>
          <w:tab w:val="num" w:pos="0"/>
        </w:tabs>
        <w:ind w:start="1800" w:hanging="360"/>
      </w:pPr>
      <w:rPr/>
    </w:lvl>
    <w:lvl w:ilvl="4">
      <w:start w:val="1"/>
      <w:numFmt w:val="decimal"/>
      <w:lvlText w:val="%3.%4.%5"/>
      <w:lvlJc w:val="start"/>
      <w:pPr>
        <w:tabs>
          <w:tab w:val="num" w:pos="0"/>
        </w:tabs>
        <w:ind w:start="2160" w:hanging="360"/>
      </w:pPr>
      <w:rPr/>
    </w:lvl>
    <w:lvl w:ilvl="5">
      <w:start w:val="1"/>
      <w:numFmt w:val="decimal"/>
      <w:lvlText w:val="%4.%5.%6"/>
      <w:lvlJc w:val="start"/>
      <w:pPr>
        <w:tabs>
          <w:tab w:val="num" w:pos="0"/>
        </w:tabs>
        <w:ind w:start="2520" w:hanging="360"/>
      </w:pPr>
      <w:rPr/>
    </w:lvl>
    <w:lvl w:ilvl="6">
      <w:start w:val="1"/>
      <w:numFmt w:val="decimal"/>
      <w:lvlText w:val="%5.%6.%7"/>
      <w:lvlJc w:val="start"/>
      <w:pPr>
        <w:tabs>
          <w:tab w:val="num" w:pos="0"/>
        </w:tabs>
        <w:ind w:start="2880" w:hanging="360"/>
      </w:pPr>
      <w:rPr/>
    </w:lvl>
    <w:lvl w:ilvl="7">
      <w:start w:val="1"/>
      <w:numFmt w:val="decimal"/>
      <w:lvlText w:val="%6.%7.%8"/>
      <w:lvlJc w:val="start"/>
      <w:pPr>
        <w:tabs>
          <w:tab w:val="num" w:pos="0"/>
        </w:tabs>
        <w:ind w:start="3240" w:hanging="360"/>
      </w:pPr>
      <w:rPr/>
    </w:lvl>
    <w:lvl w:ilvl="8">
      <w:start w:val="1"/>
      <w:numFmt w:val="decimal"/>
      <w:lvlText w:val="%7.%8.%9"/>
      <w:lvlJc w:val="start"/>
      <w:pPr>
        <w:tabs>
          <w:tab w:val="num" w:pos="0"/>
        </w:tabs>
        <w:ind w:start="3600" w:hanging="360"/>
      </w:pPr>
      <w:rPr/>
    </w:lvl>
  </w:abstractNum>
  <w:abstractNum w:abstractNumId="7">
    <w:lvl w:ilvl="0">
      <w:start w:val="1"/>
      <w:numFmt w:val="bullet"/>
      <w:lvlText w:val=""/>
      <w:lvlJc w:val="start"/>
      <w:pPr>
        <w:tabs>
          <w:tab w:val="num" w:pos="0"/>
        </w:tabs>
        <w:ind w:start="720" w:hanging="360"/>
      </w:pPr>
      <w:rPr>
        <w:rFonts w:ascii="Symbol" w:hAnsi="Symbol" w:cs="Symbol" w:hint="default"/>
      </w:rPr>
    </w:lvl>
    <w:lvl w:ilvl="1">
      <w:start w:val="1"/>
      <w:numFmt w:val="bullet"/>
      <w:lvlText w:val="◦"/>
      <w:lvlJc w:val="start"/>
      <w:pPr>
        <w:tabs>
          <w:tab w:val="num" w:pos="0"/>
        </w:tabs>
        <w:ind w:start="1080" w:hanging="360"/>
      </w:pPr>
      <w:rPr>
        <w:rFonts w:ascii="OpenSymbol" w:hAnsi="OpenSymbol" w:cs="OpenSymbol" w:hint="default"/>
      </w:rPr>
    </w:lvl>
    <w:lvl w:ilvl="2">
      <w:start w:val="1"/>
      <w:numFmt w:val="bullet"/>
      <w:lvlText w:val="▪"/>
      <w:lvlJc w:val="start"/>
      <w:pPr>
        <w:tabs>
          <w:tab w:val="num" w:pos="0"/>
        </w:tabs>
        <w:ind w:start="1440" w:hanging="360"/>
      </w:pPr>
      <w:rPr>
        <w:rFonts w:ascii="OpenSymbol" w:hAnsi="OpenSymbol" w:cs="OpenSymbol" w:hint="default"/>
      </w:rPr>
    </w:lvl>
    <w:lvl w:ilvl="3">
      <w:start w:val="1"/>
      <w:numFmt w:val="bullet"/>
      <w:lvlText w:val=""/>
      <w:lvlJc w:val="start"/>
      <w:pPr>
        <w:tabs>
          <w:tab w:val="num" w:pos="0"/>
        </w:tabs>
        <w:ind w:start="1800" w:hanging="360"/>
      </w:pPr>
      <w:rPr>
        <w:rFonts w:ascii="Symbol" w:hAnsi="Symbol" w:cs="Symbol" w:hint="default"/>
      </w:rPr>
    </w:lvl>
    <w:lvl w:ilvl="4">
      <w:start w:val="1"/>
      <w:numFmt w:val="bullet"/>
      <w:lvlText w:val="◦"/>
      <w:lvlJc w:val="start"/>
      <w:pPr>
        <w:tabs>
          <w:tab w:val="num" w:pos="0"/>
        </w:tabs>
        <w:ind w:start="2160" w:hanging="360"/>
      </w:pPr>
      <w:rPr>
        <w:rFonts w:ascii="OpenSymbol" w:hAnsi="OpenSymbol" w:cs="OpenSymbol" w:hint="default"/>
      </w:rPr>
    </w:lvl>
    <w:lvl w:ilvl="5">
      <w:start w:val="1"/>
      <w:numFmt w:val="bullet"/>
      <w:lvlText w:val="▪"/>
      <w:lvlJc w:val="start"/>
      <w:pPr>
        <w:tabs>
          <w:tab w:val="num" w:pos="0"/>
        </w:tabs>
        <w:ind w:start="2520" w:hanging="360"/>
      </w:pPr>
      <w:rPr>
        <w:rFonts w:ascii="OpenSymbol" w:hAnsi="OpenSymbol" w:cs="OpenSymbol" w:hint="default"/>
      </w:rPr>
    </w:lvl>
    <w:lvl w:ilvl="6">
      <w:start w:val="1"/>
      <w:numFmt w:val="bullet"/>
      <w:lvlText w:val=""/>
      <w:lvlJc w:val="start"/>
      <w:pPr>
        <w:tabs>
          <w:tab w:val="num" w:pos="0"/>
        </w:tabs>
        <w:ind w:start="2880" w:hanging="360"/>
      </w:pPr>
      <w:rPr>
        <w:rFonts w:ascii="Symbol" w:hAnsi="Symbol" w:cs="Symbol" w:hint="default"/>
      </w:rPr>
    </w:lvl>
    <w:lvl w:ilvl="7">
      <w:start w:val="1"/>
      <w:numFmt w:val="bullet"/>
      <w:lvlText w:val="◦"/>
      <w:lvlJc w:val="start"/>
      <w:pPr>
        <w:tabs>
          <w:tab w:val="num" w:pos="0"/>
        </w:tabs>
        <w:ind w:start="3240" w:hanging="360"/>
      </w:pPr>
      <w:rPr>
        <w:rFonts w:ascii="OpenSymbol" w:hAnsi="OpenSymbol" w:cs="OpenSymbol" w:hint="default"/>
      </w:rPr>
    </w:lvl>
    <w:lvl w:ilvl="8">
      <w:start w:val="1"/>
      <w:numFmt w:val="bullet"/>
      <w:lvlText w:val="▪"/>
      <w:lvlJc w:val="start"/>
      <w:pPr>
        <w:tabs>
          <w:tab w:val="num" w:pos="0"/>
        </w:tabs>
        <w:ind w:start="3600" w:hanging="360"/>
      </w:pPr>
      <w:rPr>
        <w:rFonts w:ascii="OpenSymbol" w:hAnsi="OpenSymbol" w:cs="OpenSymbol" w:hint="default"/>
      </w:rPr>
    </w:lvl>
  </w:abstractNum>
  <w:abstractNum w:abstractNumId="8">
    <w:lvl w:ilvl="0">
      <w:start w:val="1"/>
      <w:numFmt w:val="lowerLetter"/>
      <w:lvlText w:val="%1"/>
      <w:lvlJc w:val="start"/>
      <w:pPr>
        <w:tabs>
          <w:tab w:val="num" w:pos="0"/>
        </w:tabs>
        <w:ind w:start="709" w:hanging="425"/>
      </w:pPr>
      <w:rPr/>
    </w:lvl>
    <w:lvl w:ilvl="1">
      <w:start w:val="1"/>
      <w:numFmt w:val="decimal"/>
      <w:lvlText w:val="%1.%2"/>
      <w:lvlJc w:val="start"/>
      <w:pPr>
        <w:tabs>
          <w:tab w:val="num" w:pos="0"/>
        </w:tabs>
        <w:ind w:start="1080" w:hanging="360"/>
      </w:pPr>
      <w:rPr/>
    </w:lvl>
    <w:lvl w:ilvl="2">
      <w:start w:val="1"/>
      <w:numFmt w:val="decimal"/>
      <w:lvlText w:val="%1.%2.%3"/>
      <w:lvlJc w:val="start"/>
      <w:pPr>
        <w:tabs>
          <w:tab w:val="num" w:pos="0"/>
        </w:tabs>
        <w:ind w:start="1440" w:hanging="360"/>
      </w:pPr>
      <w:rPr/>
    </w:lvl>
    <w:lvl w:ilvl="3">
      <w:start w:val="1"/>
      <w:numFmt w:val="decimal"/>
      <w:lvlText w:val="%2.%3.%4"/>
      <w:lvlJc w:val="start"/>
      <w:pPr>
        <w:tabs>
          <w:tab w:val="num" w:pos="0"/>
        </w:tabs>
        <w:ind w:start="1800" w:hanging="360"/>
      </w:pPr>
      <w:rPr/>
    </w:lvl>
    <w:lvl w:ilvl="4">
      <w:start w:val="1"/>
      <w:numFmt w:val="decimal"/>
      <w:lvlText w:val="%3.%4.%5"/>
      <w:lvlJc w:val="start"/>
      <w:pPr>
        <w:tabs>
          <w:tab w:val="num" w:pos="0"/>
        </w:tabs>
        <w:ind w:start="2160" w:hanging="360"/>
      </w:pPr>
      <w:rPr/>
    </w:lvl>
    <w:lvl w:ilvl="5">
      <w:start w:val="1"/>
      <w:numFmt w:val="decimal"/>
      <w:lvlText w:val="%4.%5.%6"/>
      <w:lvlJc w:val="start"/>
      <w:pPr>
        <w:tabs>
          <w:tab w:val="num" w:pos="0"/>
        </w:tabs>
        <w:ind w:start="2520" w:hanging="360"/>
      </w:pPr>
      <w:rPr/>
    </w:lvl>
    <w:lvl w:ilvl="6">
      <w:start w:val="1"/>
      <w:numFmt w:val="decimal"/>
      <w:lvlText w:val="%5.%6.%7"/>
      <w:lvlJc w:val="start"/>
      <w:pPr>
        <w:tabs>
          <w:tab w:val="num" w:pos="0"/>
        </w:tabs>
        <w:ind w:start="2880" w:hanging="360"/>
      </w:pPr>
      <w:rPr/>
    </w:lvl>
    <w:lvl w:ilvl="7">
      <w:start w:val="1"/>
      <w:numFmt w:val="decimal"/>
      <w:lvlText w:val="%6.%7.%8"/>
      <w:lvlJc w:val="start"/>
      <w:pPr>
        <w:tabs>
          <w:tab w:val="num" w:pos="0"/>
        </w:tabs>
        <w:ind w:start="3240" w:hanging="360"/>
      </w:pPr>
      <w:rPr/>
    </w:lvl>
    <w:lvl w:ilvl="8">
      <w:start w:val="1"/>
      <w:numFmt w:val="decimal"/>
      <w:lvlText w:val="%7.%8.%9"/>
      <w:lvlJc w:val="start"/>
      <w:pPr>
        <w:tabs>
          <w:tab w:val="num" w:pos="0"/>
        </w:tabs>
        <w:ind w:start="3600" w:hanging="360"/>
      </w:pPr>
      <w:rPr/>
    </w:lvl>
  </w:abstractNum>
  <w:abstractNum w:abstractNumId="9">
    <w:lvl w:ilvl="0">
      <w:start w:val="1"/>
      <w:numFmt w:val="lowerRoman"/>
      <w:lvlText w:val="%1"/>
      <w:lvlJc w:val="start"/>
      <w:pPr>
        <w:tabs>
          <w:tab w:val="num" w:pos="0"/>
        </w:tabs>
        <w:ind w:start="709" w:hanging="425"/>
      </w:pPr>
      <w:rPr/>
    </w:lvl>
    <w:lvl w:ilvl="1">
      <w:start w:val="1"/>
      <w:numFmt w:val="decimal"/>
      <w:lvlText w:val="%1.%2"/>
      <w:lvlJc w:val="start"/>
      <w:pPr>
        <w:tabs>
          <w:tab w:val="num" w:pos="0"/>
        </w:tabs>
        <w:ind w:start="1080" w:hanging="360"/>
      </w:pPr>
      <w:rPr/>
    </w:lvl>
    <w:lvl w:ilvl="2">
      <w:start w:val="1"/>
      <w:numFmt w:val="decimal"/>
      <w:lvlText w:val="%1.%2.%3"/>
      <w:lvlJc w:val="start"/>
      <w:pPr>
        <w:tabs>
          <w:tab w:val="num" w:pos="0"/>
        </w:tabs>
        <w:ind w:start="1440" w:hanging="360"/>
      </w:pPr>
      <w:rPr/>
    </w:lvl>
    <w:lvl w:ilvl="3">
      <w:start w:val="1"/>
      <w:numFmt w:val="decimal"/>
      <w:lvlText w:val="%2.%3.%4"/>
      <w:lvlJc w:val="start"/>
      <w:pPr>
        <w:tabs>
          <w:tab w:val="num" w:pos="0"/>
        </w:tabs>
        <w:ind w:start="1800" w:hanging="360"/>
      </w:pPr>
      <w:rPr/>
    </w:lvl>
    <w:lvl w:ilvl="4">
      <w:start w:val="1"/>
      <w:numFmt w:val="decimal"/>
      <w:lvlText w:val="%3.%4.%5"/>
      <w:lvlJc w:val="start"/>
      <w:pPr>
        <w:tabs>
          <w:tab w:val="num" w:pos="0"/>
        </w:tabs>
        <w:ind w:start="2160" w:hanging="360"/>
      </w:pPr>
      <w:rPr/>
    </w:lvl>
    <w:lvl w:ilvl="5">
      <w:start w:val="1"/>
      <w:numFmt w:val="decimal"/>
      <w:lvlText w:val="%4.%5.%6"/>
      <w:lvlJc w:val="start"/>
      <w:pPr>
        <w:tabs>
          <w:tab w:val="num" w:pos="0"/>
        </w:tabs>
        <w:ind w:start="2520" w:hanging="360"/>
      </w:pPr>
      <w:rPr/>
    </w:lvl>
    <w:lvl w:ilvl="6">
      <w:start w:val="1"/>
      <w:numFmt w:val="decimal"/>
      <w:lvlText w:val="%5.%6.%7"/>
      <w:lvlJc w:val="start"/>
      <w:pPr>
        <w:tabs>
          <w:tab w:val="num" w:pos="0"/>
        </w:tabs>
        <w:ind w:start="2880" w:hanging="360"/>
      </w:pPr>
      <w:rPr/>
    </w:lvl>
    <w:lvl w:ilvl="7">
      <w:start w:val="1"/>
      <w:numFmt w:val="decimal"/>
      <w:lvlText w:val="%6.%7.%8"/>
      <w:lvlJc w:val="start"/>
      <w:pPr>
        <w:tabs>
          <w:tab w:val="num" w:pos="0"/>
        </w:tabs>
        <w:ind w:start="3240" w:hanging="360"/>
      </w:pPr>
      <w:rPr/>
    </w:lvl>
    <w:lvl w:ilvl="8">
      <w:start w:val="1"/>
      <w:numFmt w:val="decimal"/>
      <w:lvlText w:val="%7.%8.%9"/>
      <w:lvlJc w:val="start"/>
      <w:pPr>
        <w:tabs>
          <w:tab w:val="num" w:pos="0"/>
        </w:tabs>
        <w:ind w:start="3600" w:hanging="360"/>
      </w:pPr>
      <w:rPr/>
    </w:lvl>
  </w:abstractNum>
  <w:abstractNum w:abstractNumId="10">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1">
    <w:lvl w:ilvl="0">
      <w:start w:val="1"/>
      <w:numFmt w:val="decimal"/>
      <w:lvlText w:val="%1"/>
      <w:lvlJc w:val="start"/>
      <w:pPr>
        <w:tabs>
          <w:tab w:val="num" w:pos="1440"/>
        </w:tabs>
        <w:ind w:start="1440" w:hanging="360"/>
      </w:pPr>
      <w:rPr/>
    </w:lvl>
    <w:lvl w:ilvl="1">
      <w:start w:val="1"/>
      <w:numFmt w:val="decimal"/>
      <w:lvlText w:val="%1.%2"/>
      <w:lvlJc w:val="start"/>
      <w:pPr>
        <w:tabs>
          <w:tab w:val="num" w:pos="1800"/>
        </w:tabs>
        <w:ind w:start="1800" w:hanging="360"/>
      </w:pPr>
      <w:rPr/>
    </w:lvl>
    <w:lvl w:ilvl="2">
      <w:start w:val="1"/>
      <w:numFmt w:val="decimal"/>
      <w:lvlText w:val="%2.%3"/>
      <w:lvlJc w:val="start"/>
      <w:pPr>
        <w:tabs>
          <w:tab w:val="num" w:pos="2160"/>
        </w:tabs>
        <w:ind w:start="2160" w:hanging="360"/>
      </w:pPr>
      <w:rPr/>
    </w:lvl>
    <w:lvl w:ilvl="3">
      <w:start w:val="1"/>
      <w:numFmt w:val="decimal"/>
      <w:lvlText w:val="%3.%4"/>
      <w:lvlJc w:val="start"/>
      <w:pPr>
        <w:tabs>
          <w:tab w:val="num" w:pos="2520"/>
        </w:tabs>
        <w:ind w:start="2520" w:hanging="360"/>
      </w:pPr>
      <w:rPr/>
    </w:lvl>
    <w:lvl w:ilvl="4">
      <w:start w:val="1"/>
      <w:numFmt w:val="decimal"/>
      <w:lvlText w:val="%4.%5"/>
      <w:lvlJc w:val="start"/>
      <w:pPr>
        <w:tabs>
          <w:tab w:val="num" w:pos="2880"/>
        </w:tabs>
        <w:ind w:start="2880" w:hanging="360"/>
      </w:pPr>
      <w:rPr/>
    </w:lvl>
    <w:lvl w:ilvl="5">
      <w:start w:val="1"/>
      <w:numFmt w:val="decimal"/>
      <w:lvlText w:val="%5.%6"/>
      <w:lvlJc w:val="start"/>
      <w:pPr>
        <w:tabs>
          <w:tab w:val="num" w:pos="3240"/>
        </w:tabs>
        <w:ind w:start="3240" w:hanging="360"/>
      </w:pPr>
      <w:rPr/>
    </w:lvl>
    <w:lvl w:ilvl="6">
      <w:start w:val="1"/>
      <w:numFmt w:val="decimal"/>
      <w:lvlText w:val="%6.%7"/>
      <w:lvlJc w:val="start"/>
      <w:pPr>
        <w:tabs>
          <w:tab w:val="num" w:pos="3600"/>
        </w:tabs>
        <w:ind w:start="3600" w:hanging="360"/>
      </w:pPr>
      <w:rPr/>
    </w:lvl>
    <w:lvl w:ilvl="7">
      <w:start w:val="1"/>
      <w:numFmt w:val="decimal"/>
      <w:lvlText w:val="%7.%8"/>
      <w:lvlJc w:val="start"/>
      <w:pPr>
        <w:tabs>
          <w:tab w:val="num" w:pos="3960"/>
        </w:tabs>
        <w:ind w:start="3960" w:hanging="360"/>
      </w:pPr>
      <w:rPr/>
    </w:lvl>
    <w:lvl w:ilvl="8">
      <w:start w:val="1"/>
      <w:numFmt w:val="decimal"/>
      <w:lvlText w:val="%8.%9"/>
      <w:lvlJc w:val="start"/>
      <w:pPr>
        <w:tabs>
          <w:tab w:val="num" w:pos="4320"/>
        </w:tabs>
        <w:ind w:start="4320" w:hanging="360"/>
      </w:pPr>
      <w:rPr/>
    </w:lvl>
  </w:abstractNum>
  <w:abstractNum w:abstractNumId="12">
    <w:lvl w:ilvl="0">
      <w:start w:val="1"/>
      <w:numFmt w:val="bullet"/>
      <w:lvlText w:val=""/>
      <w:lvlJc w:val="start"/>
      <w:pPr>
        <w:tabs>
          <w:tab w:val="num" w:pos="1440"/>
        </w:tabs>
        <w:ind w:start="1440" w:hanging="360"/>
      </w:pPr>
      <w:rPr>
        <w:rFonts w:ascii="Symbol" w:hAnsi="Symbol" w:cs="Symbol" w:hint="default"/>
      </w:rPr>
    </w:lvl>
    <w:lvl w:ilvl="1">
      <w:start w:val="1"/>
      <w:numFmt w:val="bullet"/>
      <w:lvlText w:val="◦"/>
      <w:lvlJc w:val="start"/>
      <w:pPr>
        <w:tabs>
          <w:tab w:val="num" w:pos="1800"/>
        </w:tabs>
        <w:ind w:start="1800" w:hanging="360"/>
      </w:pPr>
      <w:rPr>
        <w:rFonts w:ascii="OpenSymbol" w:hAnsi="OpenSymbol" w:cs="OpenSymbol" w:hint="default"/>
      </w:rPr>
    </w:lvl>
    <w:lvl w:ilvl="2">
      <w:start w:val="1"/>
      <w:numFmt w:val="bullet"/>
      <w:lvlText w:val="▪"/>
      <w:lvlJc w:val="start"/>
      <w:pPr>
        <w:tabs>
          <w:tab w:val="num" w:pos="2160"/>
        </w:tabs>
        <w:ind w:start="2160" w:hanging="360"/>
      </w:pPr>
      <w:rPr>
        <w:rFonts w:ascii="OpenSymbol" w:hAnsi="OpenSymbol" w:cs="OpenSymbol" w:hint="default"/>
      </w:rPr>
    </w:lvl>
    <w:lvl w:ilvl="3">
      <w:start w:val="1"/>
      <w:numFmt w:val="bullet"/>
      <w:lvlText w:val=""/>
      <w:lvlJc w:val="start"/>
      <w:pPr>
        <w:tabs>
          <w:tab w:val="num" w:pos="2520"/>
        </w:tabs>
        <w:ind w:start="2520" w:hanging="360"/>
      </w:pPr>
      <w:rPr>
        <w:rFonts w:ascii="Symbol" w:hAnsi="Symbol" w:cs="Symbol" w:hint="default"/>
      </w:rPr>
    </w:lvl>
    <w:lvl w:ilvl="4">
      <w:start w:val="1"/>
      <w:numFmt w:val="bullet"/>
      <w:lvlText w:val="◦"/>
      <w:lvlJc w:val="start"/>
      <w:pPr>
        <w:tabs>
          <w:tab w:val="num" w:pos="2880"/>
        </w:tabs>
        <w:ind w:start="2880" w:hanging="360"/>
      </w:pPr>
      <w:rPr>
        <w:rFonts w:ascii="OpenSymbol" w:hAnsi="OpenSymbol" w:cs="OpenSymbol" w:hint="default"/>
      </w:rPr>
    </w:lvl>
    <w:lvl w:ilvl="5">
      <w:start w:val="1"/>
      <w:numFmt w:val="bullet"/>
      <w:lvlText w:val="▪"/>
      <w:lvlJc w:val="start"/>
      <w:pPr>
        <w:tabs>
          <w:tab w:val="num" w:pos="3240"/>
        </w:tabs>
        <w:ind w:start="3240" w:hanging="360"/>
      </w:pPr>
      <w:rPr>
        <w:rFonts w:ascii="OpenSymbol" w:hAnsi="OpenSymbol" w:cs="OpenSymbol" w:hint="default"/>
      </w:rPr>
    </w:lvl>
    <w:lvl w:ilvl="6">
      <w:start w:val="1"/>
      <w:numFmt w:val="bullet"/>
      <w:lvlText w:val=""/>
      <w:lvlJc w:val="start"/>
      <w:pPr>
        <w:tabs>
          <w:tab w:val="num" w:pos="3600"/>
        </w:tabs>
        <w:ind w:start="3600" w:hanging="360"/>
      </w:pPr>
      <w:rPr>
        <w:rFonts w:ascii="Symbol" w:hAnsi="Symbol" w:cs="Symbol" w:hint="default"/>
      </w:rPr>
    </w:lvl>
    <w:lvl w:ilvl="7">
      <w:start w:val="1"/>
      <w:numFmt w:val="bullet"/>
      <w:lvlText w:val="◦"/>
      <w:lvlJc w:val="start"/>
      <w:pPr>
        <w:tabs>
          <w:tab w:val="num" w:pos="3960"/>
        </w:tabs>
        <w:ind w:start="3960" w:hanging="360"/>
      </w:pPr>
      <w:rPr>
        <w:rFonts w:ascii="OpenSymbol" w:hAnsi="OpenSymbol" w:cs="OpenSymbol" w:hint="default"/>
      </w:rPr>
    </w:lvl>
    <w:lvl w:ilvl="8">
      <w:start w:val="1"/>
      <w:numFmt w:val="bullet"/>
      <w:lvlText w:val="▪"/>
      <w:lvlJc w:val="start"/>
      <w:pPr>
        <w:tabs>
          <w:tab w:val="num" w:pos="4320"/>
        </w:tabs>
        <w:ind w:start="4320" w:hanging="360"/>
      </w:pPr>
      <w:rPr>
        <w:rFonts w:ascii="OpenSymbol" w:hAnsi="OpenSymbol" w:cs="OpenSymbol" w:hint="default"/>
      </w:rPr>
    </w:lvl>
  </w:abstractNum>
  <w:abstractNum w:abstractNumId="13">
    <w:lvl w:ilvl="0">
      <w:start w:val="1"/>
      <w:numFmt w:val="bullet"/>
      <w:lvlText w:val=""/>
      <w:lvlJc w:val="start"/>
      <w:pPr>
        <w:tabs>
          <w:tab w:val="num" w:pos="1440"/>
        </w:tabs>
        <w:ind w:start="1440" w:hanging="360"/>
      </w:pPr>
      <w:rPr>
        <w:rFonts w:ascii="Symbol" w:hAnsi="Symbol" w:cs="Symbol" w:hint="default"/>
      </w:rPr>
    </w:lvl>
    <w:lvl w:ilvl="1">
      <w:start w:val="1"/>
      <w:numFmt w:val="bullet"/>
      <w:lvlText w:val="◦"/>
      <w:lvlJc w:val="start"/>
      <w:pPr>
        <w:tabs>
          <w:tab w:val="num" w:pos="1800"/>
        </w:tabs>
        <w:ind w:start="1800" w:hanging="360"/>
      </w:pPr>
      <w:rPr>
        <w:rFonts w:ascii="OpenSymbol" w:hAnsi="OpenSymbol" w:cs="OpenSymbol" w:hint="default"/>
      </w:rPr>
    </w:lvl>
    <w:lvl w:ilvl="2">
      <w:start w:val="1"/>
      <w:numFmt w:val="bullet"/>
      <w:lvlText w:val="▪"/>
      <w:lvlJc w:val="start"/>
      <w:pPr>
        <w:tabs>
          <w:tab w:val="num" w:pos="2160"/>
        </w:tabs>
        <w:ind w:start="2160" w:hanging="360"/>
      </w:pPr>
      <w:rPr>
        <w:rFonts w:ascii="OpenSymbol" w:hAnsi="OpenSymbol" w:cs="OpenSymbol" w:hint="default"/>
      </w:rPr>
    </w:lvl>
    <w:lvl w:ilvl="3">
      <w:start w:val="1"/>
      <w:numFmt w:val="bullet"/>
      <w:lvlText w:val=""/>
      <w:lvlJc w:val="start"/>
      <w:pPr>
        <w:tabs>
          <w:tab w:val="num" w:pos="2520"/>
        </w:tabs>
        <w:ind w:start="2520" w:hanging="360"/>
      </w:pPr>
      <w:rPr>
        <w:rFonts w:ascii="Symbol" w:hAnsi="Symbol" w:cs="Symbol" w:hint="default"/>
      </w:rPr>
    </w:lvl>
    <w:lvl w:ilvl="4">
      <w:start w:val="1"/>
      <w:numFmt w:val="bullet"/>
      <w:lvlText w:val="◦"/>
      <w:lvlJc w:val="start"/>
      <w:pPr>
        <w:tabs>
          <w:tab w:val="num" w:pos="2880"/>
        </w:tabs>
        <w:ind w:start="2880" w:hanging="360"/>
      </w:pPr>
      <w:rPr>
        <w:rFonts w:ascii="OpenSymbol" w:hAnsi="OpenSymbol" w:cs="OpenSymbol" w:hint="default"/>
      </w:rPr>
    </w:lvl>
    <w:lvl w:ilvl="5">
      <w:start w:val="1"/>
      <w:numFmt w:val="bullet"/>
      <w:lvlText w:val="▪"/>
      <w:lvlJc w:val="start"/>
      <w:pPr>
        <w:tabs>
          <w:tab w:val="num" w:pos="3240"/>
        </w:tabs>
        <w:ind w:start="3240" w:hanging="360"/>
      </w:pPr>
      <w:rPr>
        <w:rFonts w:ascii="OpenSymbol" w:hAnsi="OpenSymbol" w:cs="OpenSymbol" w:hint="default"/>
      </w:rPr>
    </w:lvl>
    <w:lvl w:ilvl="6">
      <w:start w:val="1"/>
      <w:numFmt w:val="bullet"/>
      <w:lvlText w:val=""/>
      <w:lvlJc w:val="start"/>
      <w:pPr>
        <w:tabs>
          <w:tab w:val="num" w:pos="3600"/>
        </w:tabs>
        <w:ind w:start="3600" w:hanging="360"/>
      </w:pPr>
      <w:rPr>
        <w:rFonts w:ascii="Symbol" w:hAnsi="Symbol" w:cs="Symbol" w:hint="default"/>
      </w:rPr>
    </w:lvl>
    <w:lvl w:ilvl="7">
      <w:start w:val="1"/>
      <w:numFmt w:val="bullet"/>
      <w:lvlText w:val="◦"/>
      <w:lvlJc w:val="start"/>
      <w:pPr>
        <w:tabs>
          <w:tab w:val="num" w:pos="3960"/>
        </w:tabs>
        <w:ind w:start="3960" w:hanging="360"/>
      </w:pPr>
      <w:rPr>
        <w:rFonts w:ascii="OpenSymbol" w:hAnsi="OpenSymbol" w:cs="OpenSymbol" w:hint="default"/>
      </w:rPr>
    </w:lvl>
    <w:lvl w:ilvl="8">
      <w:start w:val="1"/>
      <w:numFmt w:val="bullet"/>
      <w:lvlText w:val="▪"/>
      <w:lvlJc w:val="start"/>
      <w:pPr>
        <w:tabs>
          <w:tab w:val="num" w:pos="4320"/>
        </w:tabs>
        <w:ind w:start="4320" w:hanging="360"/>
      </w:pPr>
      <w:rPr>
        <w:rFonts w:ascii="OpenSymbol" w:hAnsi="OpenSymbol" w:cs="OpenSymbol" w:hint="default"/>
      </w:rPr>
    </w:lvl>
  </w:abstractNum>
  <w:abstractNum w:abstractNumId="14">
    <w:lvl w:ilvl="0">
      <w:start w:val="1"/>
      <w:numFmt w:val="bullet"/>
      <w:lvlText w:val=""/>
      <w:lvlJc w:val="start"/>
      <w:pPr>
        <w:tabs>
          <w:tab w:val="num" w:pos="770"/>
        </w:tabs>
        <w:ind w:start="770" w:hanging="360"/>
      </w:pPr>
      <w:rPr>
        <w:rFonts w:ascii="Symbol" w:hAnsi="Symbol" w:cs="Symbol" w:hint="default"/>
      </w:rPr>
    </w:lvl>
    <w:lvl w:ilvl="1">
      <w:start w:val="1"/>
      <w:numFmt w:val="bullet"/>
      <w:lvlText w:val="◦"/>
      <w:lvlJc w:val="start"/>
      <w:pPr>
        <w:tabs>
          <w:tab w:val="num" w:pos="1130"/>
        </w:tabs>
        <w:ind w:start="1130" w:hanging="360"/>
      </w:pPr>
      <w:rPr>
        <w:rFonts w:ascii="OpenSymbol" w:hAnsi="OpenSymbol" w:cs="OpenSymbol" w:hint="default"/>
      </w:rPr>
    </w:lvl>
    <w:lvl w:ilvl="2">
      <w:start w:val="1"/>
      <w:numFmt w:val="bullet"/>
      <w:lvlText w:val="▪"/>
      <w:lvlJc w:val="start"/>
      <w:pPr>
        <w:tabs>
          <w:tab w:val="num" w:pos="1490"/>
        </w:tabs>
        <w:ind w:start="1490" w:hanging="360"/>
      </w:pPr>
      <w:rPr>
        <w:rFonts w:ascii="OpenSymbol" w:hAnsi="OpenSymbol" w:cs="OpenSymbol" w:hint="default"/>
      </w:rPr>
    </w:lvl>
    <w:lvl w:ilvl="3">
      <w:start w:val="1"/>
      <w:numFmt w:val="bullet"/>
      <w:lvlText w:val=""/>
      <w:lvlJc w:val="start"/>
      <w:pPr>
        <w:tabs>
          <w:tab w:val="num" w:pos="1850"/>
        </w:tabs>
        <w:ind w:start="1850" w:hanging="360"/>
      </w:pPr>
      <w:rPr>
        <w:rFonts w:ascii="Symbol" w:hAnsi="Symbol" w:cs="Symbol" w:hint="default"/>
      </w:rPr>
    </w:lvl>
    <w:lvl w:ilvl="4">
      <w:start w:val="1"/>
      <w:numFmt w:val="bullet"/>
      <w:lvlText w:val="◦"/>
      <w:lvlJc w:val="start"/>
      <w:pPr>
        <w:tabs>
          <w:tab w:val="num" w:pos="2210"/>
        </w:tabs>
        <w:ind w:start="2210" w:hanging="360"/>
      </w:pPr>
      <w:rPr>
        <w:rFonts w:ascii="OpenSymbol" w:hAnsi="OpenSymbol" w:cs="OpenSymbol" w:hint="default"/>
      </w:rPr>
    </w:lvl>
    <w:lvl w:ilvl="5">
      <w:start w:val="1"/>
      <w:numFmt w:val="bullet"/>
      <w:lvlText w:val="▪"/>
      <w:lvlJc w:val="start"/>
      <w:pPr>
        <w:tabs>
          <w:tab w:val="num" w:pos="2570"/>
        </w:tabs>
        <w:ind w:start="2570" w:hanging="360"/>
      </w:pPr>
      <w:rPr>
        <w:rFonts w:ascii="OpenSymbol" w:hAnsi="OpenSymbol" w:cs="OpenSymbol" w:hint="default"/>
      </w:rPr>
    </w:lvl>
    <w:lvl w:ilvl="6">
      <w:start w:val="1"/>
      <w:numFmt w:val="bullet"/>
      <w:lvlText w:val=""/>
      <w:lvlJc w:val="start"/>
      <w:pPr>
        <w:tabs>
          <w:tab w:val="num" w:pos="2930"/>
        </w:tabs>
        <w:ind w:start="2930" w:hanging="360"/>
      </w:pPr>
      <w:rPr>
        <w:rFonts w:ascii="Symbol" w:hAnsi="Symbol" w:cs="Symbol" w:hint="default"/>
      </w:rPr>
    </w:lvl>
    <w:lvl w:ilvl="7">
      <w:start w:val="1"/>
      <w:numFmt w:val="bullet"/>
      <w:lvlText w:val="◦"/>
      <w:lvlJc w:val="start"/>
      <w:pPr>
        <w:tabs>
          <w:tab w:val="num" w:pos="3290"/>
        </w:tabs>
        <w:ind w:start="3290" w:hanging="360"/>
      </w:pPr>
      <w:rPr>
        <w:rFonts w:ascii="OpenSymbol" w:hAnsi="OpenSymbol" w:cs="OpenSymbol" w:hint="default"/>
      </w:rPr>
    </w:lvl>
    <w:lvl w:ilvl="8">
      <w:start w:val="1"/>
      <w:numFmt w:val="bullet"/>
      <w:lvlText w:val="▪"/>
      <w:lvlJc w:val="start"/>
      <w:pPr>
        <w:tabs>
          <w:tab w:val="num" w:pos="3650"/>
        </w:tabs>
        <w:ind w:start="3650" w:hanging="360"/>
      </w:pPr>
      <w:rPr>
        <w:rFonts w:ascii="OpenSymbol" w:hAnsi="OpenSymbol" w:cs="OpenSymbol" w:hint="default"/>
      </w:rPr>
    </w:lvl>
  </w:abstractNum>
  <w:abstractNum w:abstractNumId="15">
    <w:lvl w:ilvl="0">
      <w:start w:val="1"/>
      <w:numFmt w:val="bullet"/>
      <w:lvlText w:val=""/>
      <w:lvlJc w:val="start"/>
      <w:pPr>
        <w:tabs>
          <w:tab w:val="num" w:pos="695"/>
        </w:tabs>
        <w:ind w:start="695" w:hanging="360"/>
      </w:pPr>
      <w:rPr>
        <w:rFonts w:ascii="Symbol" w:hAnsi="Symbol" w:cs="Symbol" w:hint="default"/>
      </w:rPr>
    </w:lvl>
    <w:lvl w:ilvl="1">
      <w:start w:val="1"/>
      <w:numFmt w:val="bullet"/>
      <w:lvlText w:val="◦"/>
      <w:lvlJc w:val="start"/>
      <w:pPr>
        <w:tabs>
          <w:tab w:val="num" w:pos="1055"/>
        </w:tabs>
        <w:ind w:start="1055" w:hanging="360"/>
      </w:pPr>
      <w:rPr>
        <w:rFonts w:ascii="OpenSymbol" w:hAnsi="OpenSymbol" w:cs="OpenSymbol" w:hint="default"/>
      </w:rPr>
    </w:lvl>
    <w:lvl w:ilvl="2">
      <w:start w:val="1"/>
      <w:numFmt w:val="bullet"/>
      <w:lvlText w:val="▪"/>
      <w:lvlJc w:val="start"/>
      <w:pPr>
        <w:tabs>
          <w:tab w:val="num" w:pos="1415"/>
        </w:tabs>
        <w:ind w:start="1415" w:hanging="360"/>
      </w:pPr>
      <w:rPr>
        <w:rFonts w:ascii="OpenSymbol" w:hAnsi="OpenSymbol" w:cs="OpenSymbol" w:hint="default"/>
      </w:rPr>
    </w:lvl>
    <w:lvl w:ilvl="3">
      <w:start w:val="1"/>
      <w:numFmt w:val="bullet"/>
      <w:lvlText w:val=""/>
      <w:lvlJc w:val="start"/>
      <w:pPr>
        <w:tabs>
          <w:tab w:val="num" w:pos="1775"/>
        </w:tabs>
        <w:ind w:start="1775" w:hanging="360"/>
      </w:pPr>
      <w:rPr>
        <w:rFonts w:ascii="Symbol" w:hAnsi="Symbol" w:cs="Symbol" w:hint="default"/>
      </w:rPr>
    </w:lvl>
    <w:lvl w:ilvl="4">
      <w:start w:val="1"/>
      <w:numFmt w:val="bullet"/>
      <w:lvlText w:val="◦"/>
      <w:lvlJc w:val="start"/>
      <w:pPr>
        <w:tabs>
          <w:tab w:val="num" w:pos="2135"/>
        </w:tabs>
        <w:ind w:start="2135" w:hanging="360"/>
      </w:pPr>
      <w:rPr>
        <w:rFonts w:ascii="OpenSymbol" w:hAnsi="OpenSymbol" w:cs="OpenSymbol" w:hint="default"/>
      </w:rPr>
    </w:lvl>
    <w:lvl w:ilvl="5">
      <w:start w:val="1"/>
      <w:numFmt w:val="bullet"/>
      <w:lvlText w:val="▪"/>
      <w:lvlJc w:val="start"/>
      <w:pPr>
        <w:tabs>
          <w:tab w:val="num" w:pos="2495"/>
        </w:tabs>
        <w:ind w:start="2495" w:hanging="360"/>
      </w:pPr>
      <w:rPr>
        <w:rFonts w:ascii="OpenSymbol" w:hAnsi="OpenSymbol" w:cs="OpenSymbol" w:hint="default"/>
      </w:rPr>
    </w:lvl>
    <w:lvl w:ilvl="6">
      <w:start w:val="1"/>
      <w:numFmt w:val="bullet"/>
      <w:lvlText w:val=""/>
      <w:lvlJc w:val="start"/>
      <w:pPr>
        <w:tabs>
          <w:tab w:val="num" w:pos="2855"/>
        </w:tabs>
        <w:ind w:start="2855" w:hanging="360"/>
      </w:pPr>
      <w:rPr>
        <w:rFonts w:ascii="Symbol" w:hAnsi="Symbol" w:cs="Symbol" w:hint="default"/>
      </w:rPr>
    </w:lvl>
    <w:lvl w:ilvl="7">
      <w:start w:val="1"/>
      <w:numFmt w:val="bullet"/>
      <w:lvlText w:val="◦"/>
      <w:lvlJc w:val="start"/>
      <w:pPr>
        <w:tabs>
          <w:tab w:val="num" w:pos="3215"/>
        </w:tabs>
        <w:ind w:start="3215" w:hanging="360"/>
      </w:pPr>
      <w:rPr>
        <w:rFonts w:ascii="OpenSymbol" w:hAnsi="OpenSymbol" w:cs="OpenSymbol" w:hint="default"/>
      </w:rPr>
    </w:lvl>
    <w:lvl w:ilvl="8">
      <w:start w:val="1"/>
      <w:numFmt w:val="bullet"/>
      <w:lvlText w:val="▪"/>
      <w:lvlJc w:val="start"/>
      <w:pPr>
        <w:tabs>
          <w:tab w:val="num" w:pos="3575"/>
        </w:tabs>
        <w:ind w:start="3575" w:hanging="360"/>
      </w:pPr>
      <w:rPr>
        <w:rFonts w:ascii="OpenSymbol" w:hAnsi="OpenSymbol" w:cs="OpenSymbol" w:hint="default"/>
      </w:rPr>
    </w:lvl>
  </w:abstractNum>
  <w:abstractNum w:abstractNumId="16">
    <w:lvl w:ilvl="0">
      <w:start w:val="1"/>
      <w:numFmt w:val="decimal"/>
      <w:lvlText w:val="%1."/>
      <w:lvlJc w:val="start"/>
      <w:pPr>
        <w:tabs>
          <w:tab w:val="num" w:pos="1116"/>
        </w:tabs>
        <w:ind w:start="1116" w:hanging="360"/>
      </w:pPr>
      <w:rPr/>
    </w:lvl>
    <w:lvl w:ilvl="1">
      <w:start w:val="1"/>
      <w:numFmt w:val="decimal"/>
      <w:lvlText w:val="%2."/>
      <w:lvlJc w:val="start"/>
      <w:pPr>
        <w:tabs>
          <w:tab w:val="num" w:pos="1476"/>
        </w:tabs>
        <w:ind w:start="1476" w:hanging="360"/>
      </w:pPr>
      <w:rPr/>
    </w:lvl>
    <w:lvl w:ilvl="2">
      <w:start w:val="1"/>
      <w:numFmt w:val="decimal"/>
      <w:lvlText w:val="%3."/>
      <w:lvlJc w:val="start"/>
      <w:pPr>
        <w:tabs>
          <w:tab w:val="num" w:pos="1836"/>
        </w:tabs>
        <w:ind w:start="1836" w:hanging="360"/>
      </w:pPr>
      <w:rPr/>
    </w:lvl>
    <w:lvl w:ilvl="3">
      <w:start w:val="1"/>
      <w:numFmt w:val="decimal"/>
      <w:lvlText w:val="%4."/>
      <w:lvlJc w:val="start"/>
      <w:pPr>
        <w:tabs>
          <w:tab w:val="num" w:pos="2196"/>
        </w:tabs>
        <w:ind w:start="2196" w:hanging="360"/>
      </w:pPr>
      <w:rPr/>
    </w:lvl>
    <w:lvl w:ilvl="4">
      <w:start w:val="1"/>
      <w:numFmt w:val="decimal"/>
      <w:lvlText w:val="%5."/>
      <w:lvlJc w:val="start"/>
      <w:pPr>
        <w:tabs>
          <w:tab w:val="num" w:pos="2556"/>
        </w:tabs>
        <w:ind w:start="2556" w:hanging="360"/>
      </w:pPr>
      <w:rPr/>
    </w:lvl>
    <w:lvl w:ilvl="5">
      <w:start w:val="1"/>
      <w:numFmt w:val="decimal"/>
      <w:lvlText w:val="%6."/>
      <w:lvlJc w:val="start"/>
      <w:pPr>
        <w:tabs>
          <w:tab w:val="num" w:pos="2916"/>
        </w:tabs>
        <w:ind w:start="2916" w:hanging="360"/>
      </w:pPr>
      <w:rPr/>
    </w:lvl>
    <w:lvl w:ilvl="6">
      <w:start w:val="1"/>
      <w:numFmt w:val="decimal"/>
      <w:lvlText w:val="%7."/>
      <w:lvlJc w:val="start"/>
      <w:pPr>
        <w:tabs>
          <w:tab w:val="num" w:pos="3276"/>
        </w:tabs>
        <w:ind w:start="3276" w:hanging="360"/>
      </w:pPr>
      <w:rPr/>
    </w:lvl>
    <w:lvl w:ilvl="7">
      <w:start w:val="1"/>
      <w:numFmt w:val="decimal"/>
      <w:lvlText w:val="%8."/>
      <w:lvlJc w:val="start"/>
      <w:pPr>
        <w:tabs>
          <w:tab w:val="num" w:pos="3636"/>
        </w:tabs>
        <w:ind w:start="3636" w:hanging="360"/>
      </w:pPr>
      <w:rPr/>
    </w:lvl>
    <w:lvl w:ilvl="8">
      <w:start w:val="1"/>
      <w:numFmt w:val="decimal"/>
      <w:lvlText w:val="%9."/>
      <w:lvlJc w:val="start"/>
      <w:pPr>
        <w:tabs>
          <w:tab w:val="num" w:pos="3996"/>
        </w:tabs>
        <w:ind w:start="3996" w:hanging="360"/>
      </w:pPr>
      <w:rPr/>
    </w:lvl>
  </w:abstractNum>
  <w:abstractNum w:abstractNumId="17">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98"/>
  <w:revisionView w:insDel="0" w:formatting="0"/>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DejaVu LGC Sans" w:cs="Tahoma"/>
        <w:kern w:val="2"/>
        <w:sz w:val="24"/>
        <w:szCs w:val="24"/>
        <w:lang w:val="en-US" w:eastAsia="en-US" w:bidi="en-US"/>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before="0" w:after="0"/>
      <w:jc w:val="start"/>
      <w:textAlignment w:val="baseline"/>
    </w:pPr>
    <w:rPr>
      <w:rFonts w:ascii="Arial" w:hAnsi="Arial" w:eastAsia="Times New Roman" w:cs="Times New Roman"/>
      <w:color w:val="auto"/>
      <w:kern w:val="2"/>
      <w:sz w:val="20"/>
      <w:szCs w:val="20"/>
      <w:lang w:val="en-GB" w:eastAsia="en-US" w:bidi="ar-SA"/>
    </w:rPr>
  </w:style>
  <w:style w:type="paragraph" w:styleId="Heading1">
    <w:name w:val="Heading 1"/>
    <w:basedOn w:val="Normal"/>
    <w:next w:val="Normal"/>
    <w:qFormat/>
    <w:pPr>
      <w:keepNext w:val="true"/>
      <w:numPr>
        <w:ilvl w:val="0"/>
        <w:numId w:val="0"/>
      </w:numPr>
      <w:spacing w:before="240" w:after="60"/>
      <w:outlineLvl w:val="0"/>
    </w:pPr>
    <w:rPr>
      <w:b/>
      <w:sz w:val="24"/>
    </w:rPr>
  </w:style>
  <w:style w:type="paragraph" w:styleId="Heading2">
    <w:name w:val="Heading 2"/>
    <w:basedOn w:val="Heading"/>
    <w:next w:val="BodyText"/>
    <w:qFormat/>
    <w:pPr>
      <w:numPr>
        <w:ilvl w:val="1"/>
        <w:numId w:val="2"/>
      </w:numPr>
      <w:spacing w:before="200" w:after="120"/>
      <w:outlineLvl w:val="1"/>
    </w:pPr>
    <w:rPr>
      <w:b/>
      <w:bCs/>
      <w:sz w:val="20"/>
      <w:szCs w:val="32"/>
    </w:rPr>
  </w:style>
  <w:style w:type="character" w:styleId="DefaultParagraphFont">
    <w:name w:val="Default Paragraph Font"/>
    <w:qFormat/>
    <w:rPr/>
  </w:style>
  <w:style w:type="character" w:styleId="pagenumber">
    <w:name w:val="page number"/>
    <w:basedOn w:val="DefaultParagraphFont"/>
    <w:qFormat/>
    <w:rPr/>
  </w:style>
  <w:style w:type="character" w:styleId="WW8Num7z0">
    <w:name w:val="WW8Num7z0"/>
    <w:qFormat/>
    <w:rPr>
      <w:rFonts w:ascii="Monotype Sorts" w:hAnsi="Monotype Sorts" w:eastAsia="Times New Roman" w:cs="Times New Roman"/>
      <w:i/>
    </w:rPr>
  </w:style>
  <w:style w:type="character" w:styleId="WW8Num7z1">
    <w:name w:val="WW8Num7z1"/>
    <w:qFormat/>
    <w:rPr>
      <w:rFonts w:ascii="Courier New" w:hAnsi="Courier New" w:cs="Courier New"/>
    </w:rPr>
  </w:style>
  <w:style w:type="character" w:styleId="WW8Num7z2">
    <w:name w:val="WW8Num7z2"/>
    <w:qFormat/>
    <w:rPr>
      <w:rFonts w:ascii="Wingdings" w:hAnsi="Wingdings"/>
    </w:rPr>
  </w:style>
  <w:style w:type="character" w:styleId="WW8Num7z3">
    <w:name w:val="WW8Num7z3"/>
    <w:qFormat/>
    <w:rPr>
      <w:rFonts w:ascii="Symbol" w:hAnsi="Symbol"/>
    </w:rPr>
  </w:style>
  <w:style w:type="character" w:styleId="NumberingSymbols">
    <w:name w:val="Numbering Symbols"/>
    <w:qFormat/>
    <w:rPr/>
  </w:style>
  <w:style w:type="character" w:styleId="Bullets">
    <w:name w:val="Bullets"/>
    <w:qFormat/>
    <w:rPr>
      <w:rFonts w:ascii="OpenSymbol" w:hAnsi="OpenSymbol" w:eastAsia="OpenSymbol" w:cs="OpenSymbol"/>
    </w:rPr>
  </w:style>
  <w:style w:type="character" w:styleId="Hyperlink">
    <w:name w:val="Hyperlink"/>
    <w:basedOn w:val="DefaultParagraphFont"/>
    <w:rPr>
      <w:color w:val="0563C1"/>
      <w:u w:val="single"/>
    </w:rPr>
  </w:style>
  <w:style w:type="character" w:styleId="UnresolvedMention">
    <w:name w:val="Unresolved Mention"/>
    <w:basedOn w:val="DefaultParagraphFont"/>
    <w:qFormat/>
    <w:rPr>
      <w:color w:val="605E5C"/>
    </w:rPr>
  </w:style>
  <w:style w:type="character" w:styleId="FootnoteTextChar">
    <w:name w:val="Footnote Text Char"/>
    <w:basedOn w:val="DefaultParagraphFont"/>
    <w:qFormat/>
    <w:rPr>
      <w:rFonts w:ascii="Verdana" w:hAnsi="Verdana" w:eastAsia="Times New Roman" w:cs="Times New Roman"/>
      <w:sz w:val="20"/>
      <w:szCs w:val="20"/>
      <w:lang w:val="en-GB" w:bidi="ar-SA"/>
    </w:rPr>
  </w:style>
  <w:style w:type="character" w:styleId="FootnoteCharacters">
    <w:name w:val="Footnote Characters"/>
    <w:basedOn w:val="DefaultParagraphFont"/>
    <w:qFormat/>
    <w:rPr>
      <w:vertAlign w:val="superscript"/>
    </w:rPr>
  </w:style>
  <w:style w:type="character" w:styleId="FootnoteReference">
    <w:name w:val="Footnote Reference"/>
    <w:rPr>
      <w:vertAlign w:val="superscript"/>
    </w:rPr>
  </w:style>
  <w:style w:type="character" w:styleId="LineNumber">
    <w:name w:val="Line Number"/>
    <w:rPr/>
  </w:style>
  <w:style w:type="paragraph" w:styleId="Heading">
    <w:name w:val="Heading"/>
    <w:basedOn w:val="Normal"/>
    <w:next w:val="BodyText"/>
    <w:qFormat/>
    <w:pPr>
      <w:keepNext w:val="true"/>
      <w:spacing w:before="240" w:after="120"/>
    </w:pPr>
    <w:rPr>
      <w:rFonts w:eastAsia="DejaVu LGC Sans" w:cs="Tahoma"/>
      <w:sz w:val="28"/>
      <w:szCs w:val="28"/>
    </w:rPr>
  </w:style>
  <w:style w:type="paragraph" w:styleId="BodyText">
    <w:name w:val="Body Text"/>
    <w:basedOn w:val="Normal"/>
    <w:pPr>
      <w:spacing w:lineRule="auto" w:line="288" w:before="0" w:after="120"/>
    </w:pPr>
    <w:rPr/>
  </w:style>
  <w:style w:type="paragraph" w:styleId="List">
    <w:name w:val="List"/>
    <w:basedOn w:val="BodyText"/>
    <w:pPr/>
    <w:rPr>
      <w:rFonts w:cs="Tahoma"/>
    </w:rPr>
  </w:style>
  <w:style w:type="paragraph" w:styleId="Caption">
    <w:name w:val="Caption"/>
    <w:basedOn w:val="Normal"/>
    <w:qFormat/>
    <w:pPr>
      <w:suppressLineNumbers/>
      <w:spacing w:before="120" w:after="120"/>
    </w:pPr>
    <w:rPr>
      <w:rFonts w:ascii="DejaVu Sans" w:hAnsi="DejaVu Sans" w:cs="FreeSans"/>
      <w:i/>
      <w:iCs/>
      <w:sz w:val="24"/>
      <w:szCs w:val="24"/>
    </w:rPr>
  </w:style>
  <w:style w:type="paragraph" w:styleId="Index">
    <w:name w:val="Index"/>
    <w:basedOn w:val="Normal"/>
    <w:qFormat/>
    <w:pPr>
      <w:suppressLineNumbers/>
    </w:pPr>
    <w:rPr>
      <w:rFonts w:cs="Tahoma"/>
    </w:rPr>
  </w:style>
  <w:style w:type="paragraph" w:styleId="caption1">
    <w:name w:val="caption1"/>
    <w:basedOn w:val="Normal"/>
    <w:qFormat/>
    <w:pPr>
      <w:suppressLineNumbers/>
      <w:spacing w:before="120" w:after="120"/>
    </w:pPr>
    <w:rPr>
      <w:rFonts w:cs="Tahoma"/>
      <w:i/>
      <w:iCs/>
      <w:sz w:val="24"/>
      <w:szCs w:val="24"/>
    </w:rPr>
  </w:style>
  <w:style w:type="paragraph" w:styleId="HeaderandFooter">
    <w:name w:val="Header and Footer"/>
    <w:basedOn w:val="Normal"/>
    <w:qFormat/>
    <w:pPr/>
    <w:rPr/>
  </w:style>
  <w:style w:type="paragraph" w:styleId="Header">
    <w:name w:val="Header"/>
    <w:basedOn w:val="Normal"/>
    <w:pPr>
      <w:tabs>
        <w:tab w:val="clear" w:pos="720"/>
        <w:tab w:val="center" w:pos="4153" w:leader="none"/>
        <w:tab w:val="right" w:pos="8306" w:leader="none"/>
      </w:tabs>
    </w:pPr>
    <w:rPr/>
  </w:style>
  <w:style w:type="paragraph" w:styleId="Footer">
    <w:name w:val="Footer"/>
    <w:basedOn w:val="Normal"/>
    <w:pPr>
      <w:tabs>
        <w:tab w:val="clear" w:pos="720"/>
        <w:tab w:val="center" w:pos="4153" w:leader="none"/>
        <w:tab w:val="right" w:pos="8306" w:leader="none"/>
      </w:tabs>
    </w:pPr>
    <w:rPr/>
  </w:style>
  <w:style w:type="paragraph" w:styleId="TableContents">
    <w:name w:val="Table Contents"/>
    <w:basedOn w:val="Normal"/>
    <w:qFormat/>
    <w:pPr>
      <w:suppressLineNumbers/>
    </w:pPr>
    <w:rPr/>
  </w:style>
  <w:style w:type="paragraph" w:styleId="TableHeading">
    <w:name w:val="Table Heading"/>
    <w:basedOn w:val="TableContents"/>
    <w:qFormat/>
    <w:pPr>
      <w:jc w:val="center"/>
    </w:pPr>
    <w:rPr>
      <w:b/>
      <w:bCs/>
    </w:rPr>
  </w:style>
  <w:style w:type="paragraph" w:styleId="Level1">
    <w:name w:val="Level 1"/>
    <w:basedOn w:val="Normal"/>
    <w:qFormat/>
    <w:pPr>
      <w:ind w:hanging="0" w:start="567" w:end="0"/>
    </w:pPr>
    <w:rPr>
      <w:rFonts w:ascii="Book Antiqua" w:hAnsi="Book Antiqua"/>
      <w:sz w:val="24"/>
    </w:rPr>
  </w:style>
  <w:style w:type="paragraph" w:styleId="OmniPage259">
    <w:name w:val="OmniPage #259"/>
    <w:basedOn w:val="Normal"/>
    <w:qFormat/>
    <w:pPr>
      <w:tabs>
        <w:tab w:val="clear" w:pos="720"/>
        <w:tab w:val="left" w:pos="1491" w:leader="none"/>
        <w:tab w:val="right" w:pos="9792" w:leader="none"/>
      </w:tabs>
      <w:ind w:hanging="677" w:start="2697" w:end="214"/>
    </w:pPr>
    <w:rPr>
      <w:lang w:val="en-US"/>
    </w:rPr>
  </w:style>
  <w:style w:type="paragraph" w:styleId="OmniPage270">
    <w:name w:val="OmniPage #270"/>
    <w:basedOn w:val="Normal"/>
    <w:qFormat/>
    <w:pPr>
      <w:tabs>
        <w:tab w:val="clear" w:pos="720"/>
        <w:tab w:val="left" w:pos="781" w:leader="none"/>
        <w:tab w:val="right" w:pos="9722" w:leader="none"/>
      </w:tabs>
      <w:ind w:hanging="681" w:start="1987" w:end="284"/>
    </w:pPr>
    <w:rPr>
      <w:lang w:val="en-US"/>
    </w:rPr>
  </w:style>
  <w:style w:type="paragraph" w:styleId="OmniPage271">
    <w:name w:val="OmniPage #271"/>
    <w:basedOn w:val="Normal"/>
    <w:qFormat/>
    <w:pPr>
      <w:tabs>
        <w:tab w:val="clear" w:pos="720"/>
        <w:tab w:val="left" w:pos="786" w:leader="none"/>
        <w:tab w:val="right" w:pos="7234" w:leader="none"/>
      </w:tabs>
      <w:ind w:hanging="0" w:start="786" w:end="2772"/>
    </w:pPr>
    <w:rPr>
      <w:lang w:val="en-US"/>
    </w:rPr>
  </w:style>
  <w:style w:type="paragraph" w:styleId="OmniPage272">
    <w:name w:val="OmniPage #272"/>
    <w:basedOn w:val="Normal"/>
    <w:qFormat/>
    <w:pPr>
      <w:tabs>
        <w:tab w:val="clear" w:pos="720"/>
        <w:tab w:val="left" w:pos="791" w:leader="none"/>
        <w:tab w:val="right" w:pos="3355" w:leader="none"/>
      </w:tabs>
      <w:ind w:hanging="0" w:start="791" w:end="6651"/>
    </w:pPr>
    <w:rPr>
      <w:lang w:val="en-US"/>
    </w:rPr>
  </w:style>
  <w:style w:type="paragraph" w:styleId="OmniPage274">
    <w:name w:val="OmniPage #274"/>
    <w:basedOn w:val="Normal"/>
    <w:qFormat/>
    <w:pPr>
      <w:tabs>
        <w:tab w:val="clear" w:pos="720"/>
        <w:tab w:val="left" w:pos="784" w:leader="none"/>
        <w:tab w:val="right" w:pos="5021" w:leader="none"/>
      </w:tabs>
      <w:ind w:hanging="0" w:start="1990" w:end="4985"/>
    </w:pPr>
    <w:rPr>
      <w:lang w:val="en-US"/>
    </w:rPr>
  </w:style>
  <w:style w:type="paragraph" w:styleId="OmniPage275">
    <w:name w:val="OmniPage #275"/>
    <w:basedOn w:val="Normal"/>
    <w:qFormat/>
    <w:pPr>
      <w:tabs>
        <w:tab w:val="clear" w:pos="720"/>
        <w:tab w:val="left" w:pos="9215" w:leader="none"/>
        <w:tab w:val="right" w:pos="9906" w:leader="none"/>
      </w:tabs>
      <w:ind w:hanging="0" w:start="9215" w:end="100"/>
    </w:pPr>
    <w:rPr>
      <w:lang w:val="en-US"/>
    </w:rPr>
  </w:style>
  <w:style w:type="paragraph" w:styleId="OmniPage513">
    <w:name w:val="OmniPage #513"/>
    <w:basedOn w:val="Normal"/>
    <w:qFormat/>
    <w:pPr>
      <w:tabs>
        <w:tab w:val="clear" w:pos="720"/>
        <w:tab w:val="left" w:pos="4743" w:leader="none"/>
        <w:tab w:val="right" w:pos="5322" w:leader="none"/>
      </w:tabs>
      <w:ind w:hanging="0" w:start="4743" w:end="4693"/>
    </w:pPr>
    <w:rPr>
      <w:lang w:val="en-US"/>
    </w:rPr>
  </w:style>
  <w:style w:type="paragraph" w:styleId="OmniPage514">
    <w:name w:val="OmniPage #514"/>
    <w:basedOn w:val="Normal"/>
    <w:qFormat/>
    <w:pPr>
      <w:tabs>
        <w:tab w:val="clear" w:pos="720"/>
        <w:tab w:val="left" w:pos="811" w:leader="none"/>
        <w:tab w:val="right" w:pos="4040" w:leader="none"/>
      </w:tabs>
      <w:ind w:hanging="0" w:start="811" w:end="5975"/>
    </w:pPr>
    <w:rPr>
      <w:lang w:val="en-US"/>
    </w:rPr>
  </w:style>
  <w:style w:type="paragraph" w:styleId="OmniPage515">
    <w:name w:val="OmniPage #515"/>
    <w:basedOn w:val="Normal"/>
    <w:qFormat/>
    <w:pPr>
      <w:tabs>
        <w:tab w:val="clear" w:pos="720"/>
        <w:tab w:val="left" w:pos="1485" w:leader="none"/>
        <w:tab w:val="right" w:pos="9778" w:leader="none"/>
      </w:tabs>
      <w:ind w:hanging="668" w:start="2624" w:end="237"/>
    </w:pPr>
    <w:rPr>
      <w:lang w:val="en-US"/>
    </w:rPr>
  </w:style>
  <w:style w:type="paragraph" w:styleId="OmniPage516">
    <w:name w:val="OmniPage #516"/>
    <w:basedOn w:val="Normal"/>
    <w:qFormat/>
    <w:pPr>
      <w:tabs>
        <w:tab w:val="clear" w:pos="720"/>
        <w:tab w:val="left" w:pos="801" w:leader="none"/>
        <w:tab w:val="right" w:pos="9773" w:leader="none"/>
      </w:tabs>
      <w:ind w:hanging="0" w:start="1940" w:end="242"/>
      <w:jc w:val="both"/>
    </w:pPr>
    <w:rPr>
      <w:lang w:val="en-US"/>
    </w:rPr>
  </w:style>
  <w:style w:type="paragraph" w:styleId="OmniPage778">
    <w:name w:val="OmniPage #778"/>
    <w:basedOn w:val="Normal"/>
    <w:qFormat/>
    <w:pPr>
      <w:tabs>
        <w:tab w:val="clear" w:pos="720"/>
        <w:tab w:val="left" w:pos="792" w:leader="none"/>
        <w:tab w:val="left" w:pos="842" w:leader="none"/>
        <w:tab w:val="left" w:pos="1470" w:leader="none"/>
        <w:tab w:val="right" w:pos="9864" w:leader="none"/>
      </w:tabs>
      <w:ind w:hanging="0" w:start="792" w:end="142"/>
    </w:pPr>
    <w:rPr>
      <w:lang w:val="en-US"/>
    </w:rPr>
  </w:style>
  <w:style w:type="paragraph" w:styleId="NormalIndent">
    <w:name w:val="Normal Indent"/>
    <w:basedOn w:val="Normal"/>
    <w:qFormat/>
    <w:pPr>
      <w:keepLines/>
      <w:spacing w:before="0" w:after="240"/>
      <w:ind w:hanging="567" w:start="567" w:end="0"/>
    </w:pPr>
    <w:rPr>
      <w:sz w:val="24"/>
      <w:lang w:val="en-US"/>
    </w:rPr>
  </w:style>
  <w:style w:type="paragraph" w:styleId="BalloonText">
    <w:name w:val="Balloon Text"/>
    <w:basedOn w:val="Normal"/>
    <w:qFormat/>
    <w:pPr/>
    <w:rPr>
      <w:rFonts w:ascii="Tahoma" w:hAnsi="Tahoma" w:cs="Tahoma"/>
      <w:sz w:val="16"/>
      <w:szCs w:val="16"/>
    </w:rPr>
  </w:style>
  <w:style w:type="paragraph" w:styleId="ListParagraph">
    <w:name w:val="List Paragraph"/>
    <w:basedOn w:val="Normal"/>
    <w:qFormat/>
    <w:pPr>
      <w:spacing w:before="0" w:after="0"/>
      <w:ind w:hanging="0" w:start="720" w:end="0"/>
      <w:contextualSpacing/>
    </w:pPr>
    <w:rPr/>
  </w:style>
  <w:style w:type="paragraph" w:styleId="FootnoteText">
    <w:name w:val="Footnote Text"/>
    <w:basedOn w:val="Normal"/>
    <w:pPr/>
    <w:rPr/>
  </w:style>
  <w:style w:type="paragraph" w:styleId="FrameContents">
    <w:name w:val="Frame Contents"/>
    <w:basedOn w:val="Normal"/>
    <w:qFormat/>
    <w:pPr/>
    <w:rPr/>
  </w:style>
  <w:style w:type="paragraph" w:styleId="Revision">
    <w:name w:val="Revision"/>
    <w:qFormat/>
    <w:pPr>
      <w:widowControl/>
      <w:suppressAutoHyphens w:val="false"/>
      <w:kinsoku w:val="true"/>
      <w:overflowPunct w:val="false"/>
      <w:autoSpaceDE w:val="true"/>
      <w:bidi w:val="0"/>
      <w:spacing w:before="0" w:after="0"/>
      <w:jc w:val="start"/>
    </w:pPr>
    <w:rPr>
      <w:rFonts w:ascii="Arial" w:hAnsi="Arial" w:eastAsia="Times New Roman" w:cs="Times New Roman"/>
      <w:color w:val="auto"/>
      <w:kern w:val="2"/>
      <w:sz w:val="20"/>
      <w:szCs w:val="20"/>
      <w:lang w:val="en-GB" w:eastAsia="en-US" w:bidi="ar-SA"/>
    </w:rPr>
  </w:style>
  <w:style w:type="numbering" w:styleId="NoList">
    <w:name w:val="No List"/>
    <w:qFormat/>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mpi.govt.nz/haumaru-kai-aotearoa-nz-food-safety/"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45</TotalTime>
  <Application>LibreOffice/24.2.7.2$Linux_X86_64 LibreOffice_project/420$Build-2</Application>
  <AppVersion>15.0000</AppVersion>
  <Pages>17</Pages>
  <Words>3687</Words>
  <Characters>19834</Characters>
  <CharactersWithSpaces>23115</CharactersWithSpaces>
  <Paragraphs>456</Paragraphs>
  <Company>ROZevents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2023-02-02T08:51:22Z</dcterms:created>
  <dc:creator>Craig Horrocks</dc:creator>
  <dc:description/>
  <dc:language>en-NZ</dc:language>
  <cp:lastModifiedBy/>
  <cp:lastPrinted>2007-11-12T14:21:00Z</cp:lastPrinted>
  <dcterms:modified xsi:type="dcterms:W3CDTF">2025-02-05T08:32:10Z</dcterms:modified>
  <cp:revision>20</cp:revision>
  <dc:subject/>
  <dc:title>Event Management Agreement template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